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E2" w:rsidRDefault="00117D0B" w:rsidP="00117D0B">
      <w:pPr>
        <w:tabs>
          <w:tab w:val="left" w:pos="3705"/>
          <w:tab w:val="center" w:pos="5085"/>
        </w:tabs>
        <w:spacing w:before="120" w:after="120" w:line="276" w:lineRule="auto"/>
        <w:rPr>
          <w:rFonts w:ascii="Times New Roman" w:hAnsi="Times New Roman" w:cs="Times New Roman"/>
          <w:b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ab/>
      </w:r>
      <w:r w:rsidRPr="001374F9">
        <w:rPr>
          <w:rFonts w:ascii="Times New Roman" w:hAnsi="Times New Roman" w:cs="Times New Roman"/>
          <w:b/>
          <w:lang w:val="ro-RO"/>
        </w:rPr>
        <w:tab/>
      </w:r>
      <w:r w:rsidR="00414957" w:rsidRPr="00414957">
        <w:rPr>
          <w:rFonts w:ascii="Times New Roman" w:hAnsi="Times New Roman" w:cs="Times New Roman"/>
          <w:b/>
          <w:lang w:val="ro-RO"/>
        </w:rPr>
        <w:t xml:space="preserve">Cauza </w:t>
      </w:r>
      <w:r w:rsidR="00D068E2" w:rsidRPr="00D068E2">
        <w:rPr>
          <w:rFonts w:ascii="Times New Roman" w:hAnsi="Times New Roman" w:cs="Times New Roman"/>
          <w:b/>
          <w:lang w:val="ro-RO"/>
        </w:rPr>
        <w:t>C - 316/21</w:t>
      </w:r>
    </w:p>
    <w:p w:rsidR="002C438C" w:rsidRPr="00D068E2" w:rsidRDefault="00D068E2" w:rsidP="00D068E2">
      <w:pPr>
        <w:tabs>
          <w:tab w:val="left" w:pos="3705"/>
          <w:tab w:val="center" w:pos="5085"/>
        </w:tabs>
        <w:spacing w:before="120" w:after="120" w:line="276" w:lineRule="auto"/>
        <w:jc w:val="center"/>
        <w:rPr>
          <w:rFonts w:ascii="Times New Roman" w:hAnsi="Times New Roman" w:cs="Times New Roman"/>
          <w:lang w:val="ro-RO"/>
        </w:rPr>
      </w:pPr>
      <w:r w:rsidRPr="00D068E2">
        <w:rPr>
          <w:rFonts w:ascii="Times New Roman" w:hAnsi="Times New Roman" w:cs="Times New Roman"/>
          <w:lang w:val="ro-RO"/>
        </w:rPr>
        <w:t>Raad van State - Monumentul Vandekerckhove NV/Stad Gent</w:t>
      </w:r>
    </w:p>
    <w:p w:rsidR="008D247A" w:rsidRPr="00414957" w:rsidRDefault="00D068E2" w:rsidP="007E7C01">
      <w:pPr>
        <w:tabs>
          <w:tab w:val="left" w:pos="3705"/>
          <w:tab w:val="center" w:pos="5085"/>
        </w:tabs>
        <w:spacing w:before="120" w:after="120" w:line="276" w:lineRule="auto"/>
        <w:jc w:val="center"/>
        <w:rPr>
          <w:rFonts w:ascii="Times New Roman" w:hAnsi="Times New Roman" w:cs="Times New Roman"/>
          <w:b/>
          <w:highlight w:val="yellow"/>
          <w:lang w:val="ro-RO"/>
        </w:rPr>
      </w:pPr>
      <w:r>
        <w:rPr>
          <w:rFonts w:ascii="Times New Roman" w:hAnsi="Times New Roman" w:cs="Times New Roman"/>
          <w:b/>
          <w:lang w:val="ro-RO"/>
        </w:rPr>
        <w:t>Ordonanța</w:t>
      </w:r>
      <w:r w:rsidR="008D247A" w:rsidRPr="00E77504">
        <w:rPr>
          <w:rFonts w:ascii="Times New Roman" w:hAnsi="Times New Roman" w:cs="Times New Roman"/>
          <w:b/>
          <w:lang w:val="ro-RO"/>
        </w:rPr>
        <w:t xml:space="preserve"> Curții </w:t>
      </w:r>
      <w:r w:rsidR="008056B2" w:rsidRPr="008056B2">
        <w:rPr>
          <w:rFonts w:ascii="Times New Roman" w:hAnsi="Times New Roman" w:cs="Times New Roman"/>
          <w:b/>
          <w:lang w:val="ro-RO"/>
        </w:rPr>
        <w:t xml:space="preserve">(Camera </w:t>
      </w:r>
      <w:r w:rsidRPr="00D068E2">
        <w:rPr>
          <w:rFonts w:ascii="Times New Roman" w:hAnsi="Times New Roman" w:cs="Times New Roman"/>
          <w:b/>
          <w:lang w:val="ro-RO"/>
        </w:rPr>
        <w:t>a noua</w:t>
      </w:r>
      <w:r w:rsidR="008056B2" w:rsidRPr="008056B2">
        <w:rPr>
          <w:rFonts w:ascii="Times New Roman" w:hAnsi="Times New Roman" w:cs="Times New Roman"/>
          <w:b/>
          <w:lang w:val="ro-RO"/>
        </w:rPr>
        <w:t>)</w:t>
      </w:r>
    </w:p>
    <w:p w:rsidR="00414957" w:rsidRDefault="00414957" w:rsidP="00414957">
      <w:pPr>
        <w:spacing w:before="120" w:after="120" w:line="276" w:lineRule="auto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din </w:t>
      </w:r>
      <w:r w:rsidRPr="00414957">
        <w:rPr>
          <w:rFonts w:ascii="Times New Roman" w:hAnsi="Times New Roman" w:cs="Times New Roman"/>
          <w:b/>
          <w:lang w:val="ro-RO"/>
        </w:rPr>
        <w:t>6 octombrie 2021</w:t>
      </w:r>
    </w:p>
    <w:p w:rsidR="004C388A" w:rsidRDefault="003023CF" w:rsidP="00AC5729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374F9">
        <w:rPr>
          <w:rFonts w:ascii="Times New Roman" w:hAnsi="Times New Roman" w:cs="Times New Roman"/>
          <w:b/>
          <w:lang w:val="ro-RO"/>
        </w:rPr>
        <w:t>Identificator</w:t>
      </w:r>
      <w:r w:rsidR="009A7338" w:rsidRPr="001374F9">
        <w:rPr>
          <w:rFonts w:ascii="Times New Roman" w:hAnsi="Times New Roman" w:cs="Times New Roman"/>
          <w:b/>
          <w:lang w:val="ro-RO"/>
        </w:rPr>
        <w:t xml:space="preserve"> ECLI</w:t>
      </w:r>
      <w:r w:rsidR="003A5763" w:rsidRPr="001374F9">
        <w:rPr>
          <w:rFonts w:ascii="Times New Roman" w:hAnsi="Times New Roman" w:cs="Times New Roman"/>
          <w:b/>
          <w:lang w:val="ro-RO"/>
        </w:rPr>
        <w:t>:</w:t>
      </w:r>
      <w:r w:rsidR="0030692D" w:rsidRPr="0030692D">
        <w:rPr>
          <w:rFonts w:ascii="Times New Roman" w:hAnsi="Times New Roman" w:cs="Times New Roman"/>
        </w:rPr>
        <w:t xml:space="preserve"> </w:t>
      </w:r>
      <w:r w:rsidR="00D068E2" w:rsidRPr="00D068E2">
        <w:rPr>
          <w:rFonts w:ascii="Times New Roman" w:hAnsi="Times New Roman" w:cs="Times New Roman"/>
        </w:rPr>
        <w:t>ECLI:EU:C:2021:837</w:t>
      </w:r>
    </w:p>
    <w:p w:rsidR="00D068E2" w:rsidRDefault="003A5763" w:rsidP="004951D2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EUR-Lex</w:t>
      </w:r>
      <w:r w:rsidRPr="001374F9">
        <w:rPr>
          <w:rFonts w:ascii="Times New Roman" w:hAnsi="Times New Roman" w:cs="Times New Roman"/>
          <w:lang w:val="ro-RO"/>
        </w:rPr>
        <w:t xml:space="preserve">: </w:t>
      </w:r>
      <w:r w:rsidR="00D068E2" w:rsidRPr="00D068E2">
        <w:rPr>
          <w:rFonts w:ascii="Times New Roman" w:hAnsi="Times New Roman" w:cs="Times New Roman"/>
          <w:lang w:val="ro-RO"/>
        </w:rPr>
        <w:t>62021CO0316</w:t>
      </w:r>
    </w:p>
    <w:p w:rsidR="002C438C" w:rsidRPr="002C438C" w:rsidRDefault="004951D2" w:rsidP="004951D2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 xml:space="preserve">Tip procedură: </w:t>
      </w:r>
      <w:r w:rsidR="00A55ADE" w:rsidRPr="00A55ADE">
        <w:rPr>
          <w:rFonts w:ascii="Times New Roman" w:hAnsi="Times New Roman" w:cs="Times New Roman"/>
          <w:lang w:val="ro-RO"/>
        </w:rPr>
        <w:t>cerere de pronunţare a unei decizii preliminare</w:t>
      </w:r>
    </w:p>
    <w:p w:rsidR="00340CE2" w:rsidRPr="001374F9" w:rsidRDefault="00340CE2" w:rsidP="004951D2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Materie</w:t>
      </w:r>
      <w:r w:rsidRPr="001374F9">
        <w:rPr>
          <w:rFonts w:ascii="Times New Roman" w:hAnsi="Times New Roman" w:cs="Times New Roman"/>
          <w:lang w:val="ro-RO"/>
        </w:rPr>
        <w:t>:</w:t>
      </w:r>
      <w:r w:rsidRPr="001374F9">
        <w:rPr>
          <w:rFonts w:ascii="Times New Roman" w:hAnsi="Times New Roman" w:cs="Times New Roman"/>
        </w:rPr>
        <w:t xml:space="preserve"> </w:t>
      </w:r>
      <w:r w:rsidR="00A55ADE" w:rsidRPr="00A55ADE">
        <w:rPr>
          <w:rFonts w:ascii="Times New Roman" w:hAnsi="Times New Roman" w:cs="Times New Roman"/>
          <w:lang w:val="ro-RO"/>
        </w:rPr>
        <w:t>libertatea de reglementare, libera prestare a serviciilor, armonizare legislativă</w:t>
      </w:r>
    </w:p>
    <w:p w:rsidR="00B83D00" w:rsidRPr="00106786" w:rsidRDefault="004951D2" w:rsidP="00FB279E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Subiect (cuvinte cheie):</w:t>
      </w:r>
      <w:r w:rsidR="00106786" w:rsidRPr="00106786">
        <w:t xml:space="preserve"> </w:t>
      </w:r>
      <w:r w:rsidR="00106786" w:rsidRPr="00106786">
        <w:rPr>
          <w:rFonts w:ascii="Times New Roman" w:hAnsi="Times New Roman" w:cs="Times New Roman"/>
          <w:lang w:val="ro-RO"/>
        </w:rPr>
        <w:t>„trimitere preliminară, art. 99 din Regulamentul de procedură al Curții, Directiva 2014/24/UE, derularea procedurii, alegerea participanților și atribuirea contractelor, art. 63,  ofertantul care folosește capacitățile unei alte entități de a îndeplini cerințele autorității contractante, nerespectarea cerințelor referitoare la capacitățile tehnice și profesionale ale ofertantului de către entitatea ale cărei capacități intenționează să le folosească ofertantul, obligația de a permite ofertantului să înlocuiască respectiva entitate</w:t>
      </w:r>
      <w:r w:rsidR="00106786">
        <w:rPr>
          <w:rFonts w:ascii="Times New Roman" w:hAnsi="Times New Roman" w:cs="Times New Roman"/>
          <w:lang w:val="ro-RO"/>
        </w:rPr>
        <w:t>, principiul proporționalității</w:t>
      </w:r>
      <w:r w:rsidR="00106786" w:rsidRPr="00106786">
        <w:rPr>
          <w:rFonts w:ascii="Times New Roman" w:hAnsi="Times New Roman" w:cs="Times New Roman"/>
          <w:lang w:val="ro-RO"/>
        </w:rPr>
        <w:t>"</w:t>
      </w:r>
    </w:p>
    <w:p w:rsidR="00D15723" w:rsidRPr="001374F9" w:rsidRDefault="00D15723" w:rsidP="00FB279E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Instanţa de trimitere</w:t>
      </w:r>
      <w:r w:rsidRPr="001374F9">
        <w:rPr>
          <w:rFonts w:ascii="Times New Roman" w:hAnsi="Times New Roman" w:cs="Times New Roman"/>
          <w:lang w:val="ro-RO"/>
        </w:rPr>
        <w:t>:</w:t>
      </w:r>
      <w:r w:rsidRPr="001374F9">
        <w:rPr>
          <w:rFonts w:ascii="Times New Roman" w:hAnsi="Times New Roman" w:cs="Times New Roman"/>
        </w:rPr>
        <w:t xml:space="preserve"> </w:t>
      </w:r>
      <w:proofErr w:type="spellStart"/>
      <w:r w:rsidR="002D1BAD" w:rsidRPr="002D1BAD">
        <w:rPr>
          <w:rFonts w:ascii="Times New Roman" w:hAnsi="Times New Roman" w:cs="Times New Roman"/>
        </w:rPr>
        <w:t>Raad</w:t>
      </w:r>
      <w:proofErr w:type="spellEnd"/>
      <w:r w:rsidR="002D1BAD" w:rsidRPr="002D1BAD">
        <w:rPr>
          <w:rFonts w:ascii="Times New Roman" w:hAnsi="Times New Roman" w:cs="Times New Roman"/>
        </w:rPr>
        <w:t xml:space="preserve"> van State</w:t>
      </w:r>
    </w:p>
    <w:p w:rsidR="00D15723" w:rsidRDefault="00D15723" w:rsidP="00CF18AB">
      <w:pPr>
        <w:spacing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Părţi în procedura principală</w:t>
      </w:r>
      <w:r w:rsidRPr="001374F9">
        <w:rPr>
          <w:rFonts w:ascii="Times New Roman" w:hAnsi="Times New Roman" w:cs="Times New Roman"/>
          <w:lang w:val="ro-RO"/>
        </w:rPr>
        <w:t>:</w:t>
      </w:r>
    </w:p>
    <w:p w:rsidR="00D44FB0" w:rsidRPr="00D44FB0" w:rsidRDefault="00D44FB0" w:rsidP="00CF18AB">
      <w:pPr>
        <w:spacing w:after="120" w:line="240" w:lineRule="auto"/>
        <w:rPr>
          <w:rFonts w:ascii="Times New Roman" w:hAnsi="Times New Roman" w:cs="Times New Roman"/>
        </w:rPr>
      </w:pPr>
      <w:proofErr w:type="spellStart"/>
      <w:r w:rsidRPr="00D44FB0">
        <w:rPr>
          <w:rFonts w:ascii="Times New Roman" w:hAnsi="Times New Roman" w:cs="Times New Roman"/>
        </w:rPr>
        <w:t>Reclamantă</w:t>
      </w:r>
      <w:proofErr w:type="spellEnd"/>
      <w:r w:rsidRPr="00D44FB0">
        <w:rPr>
          <w:rFonts w:ascii="Times New Roman" w:hAnsi="Times New Roman" w:cs="Times New Roman"/>
        </w:rPr>
        <w:t xml:space="preserve">: Monument </w:t>
      </w:r>
      <w:proofErr w:type="spellStart"/>
      <w:r w:rsidRPr="00D44FB0">
        <w:rPr>
          <w:rFonts w:ascii="Times New Roman" w:hAnsi="Times New Roman" w:cs="Times New Roman"/>
        </w:rPr>
        <w:t>Vandekerckhove</w:t>
      </w:r>
      <w:proofErr w:type="spellEnd"/>
      <w:r w:rsidRPr="00D44FB0">
        <w:rPr>
          <w:rFonts w:ascii="Times New Roman" w:hAnsi="Times New Roman" w:cs="Times New Roman"/>
        </w:rPr>
        <w:t xml:space="preserve"> NV</w:t>
      </w:r>
    </w:p>
    <w:p w:rsidR="00D44FB0" w:rsidRPr="00D44FB0" w:rsidRDefault="00D44FB0" w:rsidP="00D44FB0">
      <w:pPr>
        <w:spacing w:before="120" w:after="120" w:line="240" w:lineRule="auto"/>
        <w:rPr>
          <w:rFonts w:ascii="Times New Roman" w:hAnsi="Times New Roman" w:cs="Times New Roman"/>
        </w:rPr>
      </w:pPr>
      <w:proofErr w:type="spellStart"/>
      <w:r w:rsidRPr="00D44FB0">
        <w:rPr>
          <w:rFonts w:ascii="Times New Roman" w:hAnsi="Times New Roman" w:cs="Times New Roman"/>
        </w:rPr>
        <w:t>Pârât</w:t>
      </w:r>
      <w:proofErr w:type="spellEnd"/>
      <w:r w:rsidRPr="00D44FB0">
        <w:rPr>
          <w:rFonts w:ascii="Times New Roman" w:hAnsi="Times New Roman" w:cs="Times New Roman"/>
        </w:rPr>
        <w:t>: </w:t>
      </w:r>
      <w:proofErr w:type="spellStart"/>
      <w:r w:rsidRPr="00D44FB0">
        <w:rPr>
          <w:rFonts w:ascii="Times New Roman" w:hAnsi="Times New Roman" w:cs="Times New Roman"/>
        </w:rPr>
        <w:t>Stad</w:t>
      </w:r>
      <w:proofErr w:type="spellEnd"/>
      <w:r w:rsidRPr="00D44FB0">
        <w:rPr>
          <w:rFonts w:ascii="Times New Roman" w:hAnsi="Times New Roman" w:cs="Times New Roman"/>
        </w:rPr>
        <w:t xml:space="preserve"> Gent</w:t>
      </w:r>
    </w:p>
    <w:p w:rsidR="00D44FB0" w:rsidRPr="00D44FB0" w:rsidRDefault="00D44FB0" w:rsidP="00D44FB0">
      <w:pPr>
        <w:spacing w:before="120" w:after="120" w:line="240" w:lineRule="auto"/>
        <w:rPr>
          <w:rFonts w:ascii="Times New Roman" w:hAnsi="Times New Roman" w:cs="Times New Roman"/>
        </w:rPr>
      </w:pPr>
      <w:proofErr w:type="spellStart"/>
      <w:r w:rsidRPr="00D44FB0">
        <w:rPr>
          <w:rFonts w:ascii="Times New Roman" w:hAnsi="Times New Roman" w:cs="Times New Roman"/>
        </w:rPr>
        <w:t>Interveniente</w:t>
      </w:r>
      <w:proofErr w:type="spellEnd"/>
      <w:r w:rsidRPr="00D44FB0">
        <w:rPr>
          <w:rFonts w:ascii="Times New Roman" w:hAnsi="Times New Roman" w:cs="Times New Roman"/>
        </w:rPr>
        <w:t xml:space="preserve">: Denys NV, </w:t>
      </w:r>
      <w:proofErr w:type="spellStart"/>
      <w:r w:rsidRPr="00D44FB0">
        <w:rPr>
          <w:rFonts w:ascii="Times New Roman" w:hAnsi="Times New Roman" w:cs="Times New Roman"/>
        </w:rPr>
        <w:t>Aelterman</w:t>
      </w:r>
      <w:proofErr w:type="spellEnd"/>
      <w:r w:rsidRPr="00D44FB0">
        <w:rPr>
          <w:rFonts w:ascii="Times New Roman" w:hAnsi="Times New Roman" w:cs="Times New Roman"/>
        </w:rPr>
        <w:t xml:space="preserve"> BVBA</w:t>
      </w:r>
    </w:p>
    <w:p w:rsidR="005E52A6" w:rsidRPr="00E50008" w:rsidRDefault="00E50008" w:rsidP="007F6412">
      <w:pPr>
        <w:spacing w:before="120" w:after="120" w:line="276" w:lineRule="auto"/>
        <w:jc w:val="both"/>
        <w:rPr>
          <w:rFonts w:ascii="Times New Roman" w:hAnsi="Times New Roman" w:cs="Times New Roman"/>
          <w:lang w:val="ro-RO"/>
        </w:rPr>
      </w:pPr>
      <w:r w:rsidRPr="001374F9">
        <w:rPr>
          <w:rFonts w:ascii="Times New Roman" w:hAnsi="Times New Roman" w:cs="Times New Roman"/>
          <w:b/>
          <w:lang w:val="ro-RO"/>
        </w:rPr>
        <w:t>Obiectul cauzei:</w:t>
      </w:r>
      <w:r w:rsidRPr="00E50008">
        <w:t xml:space="preserve"> </w:t>
      </w:r>
      <w:r w:rsidRPr="00E50008">
        <w:rPr>
          <w:rFonts w:ascii="Times New Roman" w:hAnsi="Times New Roman" w:cs="Times New Roman"/>
          <w:lang w:val="ro-RO"/>
        </w:rPr>
        <w:t>Raad van (Consiliul de stat, Belgia) a formulat o cerere de decizie preliminară în cadrul unui litigiu între Monument Vandekerckhove NV și Stad Gent (orașul Gent, Belgia) cu privire la decizia acesteia din urmă de a nu selecta această societate în cadrul procedurii de atribuire a unui contract de achiziție publică de lucrări și de a atribui acest contract către companiile Denys NV și Aelterman BVBA, constituite ca societate temporară.</w:t>
      </w:r>
    </w:p>
    <w:p w:rsidR="009F7985" w:rsidRDefault="00666313" w:rsidP="00C345E5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374F9">
        <w:rPr>
          <w:rFonts w:ascii="Times New Roman" w:hAnsi="Times New Roman" w:cs="Times New Roman"/>
          <w:b/>
          <w:lang w:val="ro-RO"/>
        </w:rPr>
        <w:t>Cadrul juridic</w:t>
      </w:r>
      <w:r w:rsidRPr="00567A53">
        <w:rPr>
          <w:rFonts w:ascii="Times New Roman" w:hAnsi="Times New Roman" w:cs="Times New Roman"/>
        </w:rPr>
        <w:t xml:space="preserve">: </w:t>
      </w:r>
      <w:proofErr w:type="spellStart"/>
      <w:r w:rsidR="009F7985" w:rsidRPr="009F7985">
        <w:rPr>
          <w:rFonts w:ascii="Times New Roman" w:hAnsi="Times New Roman" w:cs="Times New Roman"/>
        </w:rPr>
        <w:t>considerentul</w:t>
      </w:r>
      <w:proofErr w:type="spellEnd"/>
      <w:r w:rsidR="009F7985" w:rsidRPr="009F7985">
        <w:rPr>
          <w:rFonts w:ascii="Times New Roman" w:hAnsi="Times New Roman" w:cs="Times New Roman"/>
        </w:rPr>
        <w:t xml:space="preserve"> 84, art. 4, art. 18, art. 19 </w:t>
      </w:r>
      <w:proofErr w:type="spellStart"/>
      <w:r w:rsidR="009F7985" w:rsidRPr="009F7985">
        <w:rPr>
          <w:rFonts w:ascii="Times New Roman" w:hAnsi="Times New Roman" w:cs="Times New Roman"/>
        </w:rPr>
        <w:t>alin</w:t>
      </w:r>
      <w:proofErr w:type="spellEnd"/>
      <w:r w:rsidR="009F7985" w:rsidRPr="009F7985">
        <w:rPr>
          <w:rFonts w:ascii="Times New Roman" w:hAnsi="Times New Roman" w:cs="Times New Roman"/>
        </w:rPr>
        <w:t xml:space="preserve">. (2) </w:t>
      </w:r>
      <w:proofErr w:type="spellStart"/>
      <w:proofErr w:type="gramStart"/>
      <w:r w:rsidR="009F7985" w:rsidRPr="009F7985">
        <w:rPr>
          <w:rFonts w:ascii="Times New Roman" w:hAnsi="Times New Roman" w:cs="Times New Roman"/>
        </w:rPr>
        <w:t>primul</w:t>
      </w:r>
      <w:proofErr w:type="spellEnd"/>
      <w:proofErr w:type="gramEnd"/>
      <w:r w:rsidR="009F7985" w:rsidRPr="009F7985">
        <w:rPr>
          <w:rFonts w:ascii="Times New Roman" w:hAnsi="Times New Roman" w:cs="Times New Roman"/>
        </w:rPr>
        <w:t xml:space="preserve"> </w:t>
      </w:r>
      <w:proofErr w:type="spellStart"/>
      <w:r w:rsidR="009F7985" w:rsidRPr="009F7985">
        <w:rPr>
          <w:rFonts w:ascii="Times New Roman" w:hAnsi="Times New Roman" w:cs="Times New Roman"/>
        </w:rPr>
        <w:t>paragraf</w:t>
      </w:r>
      <w:proofErr w:type="spellEnd"/>
      <w:r w:rsidR="009F7985" w:rsidRPr="009F7985">
        <w:rPr>
          <w:rFonts w:ascii="Times New Roman" w:hAnsi="Times New Roman" w:cs="Times New Roman"/>
        </w:rPr>
        <w:t xml:space="preserve">, art. 57 pct. 6, art. 59, art. 60 </w:t>
      </w:r>
      <w:proofErr w:type="spellStart"/>
      <w:r w:rsidR="009F7985" w:rsidRPr="009F7985">
        <w:rPr>
          <w:rFonts w:ascii="Times New Roman" w:hAnsi="Times New Roman" w:cs="Times New Roman"/>
        </w:rPr>
        <w:t>alin</w:t>
      </w:r>
      <w:proofErr w:type="spellEnd"/>
      <w:r w:rsidR="009F7985" w:rsidRPr="009F7985">
        <w:rPr>
          <w:rFonts w:ascii="Times New Roman" w:hAnsi="Times New Roman" w:cs="Times New Roman"/>
        </w:rPr>
        <w:t xml:space="preserve">. (1), art. 63 din </w:t>
      </w:r>
      <w:proofErr w:type="spellStart"/>
      <w:r w:rsidR="009F7985" w:rsidRPr="009F7985">
        <w:rPr>
          <w:rFonts w:ascii="Times New Roman" w:hAnsi="Times New Roman" w:cs="Times New Roman"/>
        </w:rPr>
        <w:t>Directiva</w:t>
      </w:r>
      <w:proofErr w:type="spellEnd"/>
      <w:r w:rsidR="009F7985" w:rsidRPr="009F7985">
        <w:rPr>
          <w:rFonts w:ascii="Times New Roman" w:hAnsi="Times New Roman" w:cs="Times New Roman"/>
        </w:rPr>
        <w:t xml:space="preserve"> 2014/24/UE</w:t>
      </w:r>
    </w:p>
    <w:p w:rsidR="00457A30" w:rsidRPr="00567A53" w:rsidRDefault="003A30AB" w:rsidP="00C345E5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374F9">
        <w:rPr>
          <w:rFonts w:ascii="Times New Roman" w:hAnsi="Times New Roman" w:cs="Times New Roman"/>
          <w:b/>
          <w:lang w:val="ro-RO"/>
        </w:rPr>
        <w:t>Întreb</w:t>
      </w:r>
      <w:r w:rsidR="007F32F3">
        <w:rPr>
          <w:rFonts w:ascii="Times New Roman" w:hAnsi="Times New Roman" w:cs="Times New Roman"/>
          <w:b/>
          <w:lang w:val="ro-RO"/>
        </w:rPr>
        <w:t>are preliminară</w:t>
      </w:r>
      <w:r>
        <w:rPr>
          <w:rFonts w:ascii="Times New Roman" w:hAnsi="Times New Roman" w:cs="Times New Roman"/>
          <w:b/>
          <w:lang w:val="ro-RO"/>
        </w:rPr>
        <w:t>:</w:t>
      </w:r>
    </w:p>
    <w:p w:rsidR="003014F6" w:rsidRPr="003014F6" w:rsidRDefault="001F28A9" w:rsidP="003014F6">
      <w:pPr>
        <w:spacing w:before="120"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„</w:t>
      </w:r>
      <w:r w:rsidR="003014F6" w:rsidRPr="003014F6"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Articolul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63 </w:t>
      </w:r>
      <w:proofErr w:type="spellStart"/>
      <w:r w:rsidR="003014F6" w:rsidRPr="003014F6">
        <w:rPr>
          <w:rFonts w:ascii="Times New Roman" w:hAnsi="Times New Roman" w:cs="Times New Roman"/>
          <w:i/>
        </w:rPr>
        <w:t>alineatul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(1) al </w:t>
      </w:r>
      <w:proofErr w:type="spellStart"/>
      <w:r w:rsidR="003014F6" w:rsidRPr="003014F6">
        <w:rPr>
          <w:rFonts w:ascii="Times New Roman" w:hAnsi="Times New Roman" w:cs="Times New Roman"/>
          <w:i/>
        </w:rPr>
        <w:t>doilea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paragraf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din </w:t>
      </w:r>
      <w:proofErr w:type="spellStart"/>
      <w:r w:rsidR="003014F6" w:rsidRPr="003014F6">
        <w:rPr>
          <w:rFonts w:ascii="Times New Roman" w:hAnsi="Times New Roman" w:cs="Times New Roman"/>
          <w:i/>
        </w:rPr>
        <w:t>Directiva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2014/24/UE1 a </w:t>
      </w:r>
      <w:proofErr w:type="spellStart"/>
      <w:r w:rsidR="003014F6" w:rsidRPr="003014F6">
        <w:rPr>
          <w:rFonts w:ascii="Times New Roman" w:hAnsi="Times New Roman" w:cs="Times New Roman"/>
          <w:i/>
        </w:rPr>
        <w:t>Parlamentului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European </w:t>
      </w:r>
      <w:proofErr w:type="spellStart"/>
      <w:r w:rsidR="003014F6" w:rsidRPr="003014F6">
        <w:rPr>
          <w:rFonts w:ascii="Times New Roman" w:hAnsi="Times New Roman" w:cs="Times New Roman"/>
          <w:i/>
        </w:rPr>
        <w:t>și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a </w:t>
      </w:r>
      <w:proofErr w:type="spellStart"/>
      <w:r w:rsidR="003014F6" w:rsidRPr="003014F6">
        <w:rPr>
          <w:rFonts w:ascii="Times New Roman" w:hAnsi="Times New Roman" w:cs="Times New Roman"/>
          <w:i/>
        </w:rPr>
        <w:t>Consiliului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din 26 </w:t>
      </w:r>
      <w:proofErr w:type="spellStart"/>
      <w:r w:rsidR="003014F6" w:rsidRPr="003014F6">
        <w:rPr>
          <w:rFonts w:ascii="Times New Roman" w:hAnsi="Times New Roman" w:cs="Times New Roman"/>
          <w:i/>
        </w:rPr>
        <w:t>februarie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2014 „</w:t>
      </w:r>
      <w:proofErr w:type="spellStart"/>
      <w:r w:rsidR="003014F6" w:rsidRPr="003014F6">
        <w:rPr>
          <w:rFonts w:ascii="Times New Roman" w:hAnsi="Times New Roman" w:cs="Times New Roman"/>
          <w:i/>
        </w:rPr>
        <w:t>privind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achizițiile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publice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și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de </w:t>
      </w:r>
      <w:proofErr w:type="spellStart"/>
      <w:r w:rsidR="003014F6" w:rsidRPr="003014F6">
        <w:rPr>
          <w:rFonts w:ascii="Times New Roman" w:hAnsi="Times New Roman" w:cs="Times New Roman"/>
          <w:i/>
        </w:rPr>
        <w:t>abrogare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a </w:t>
      </w:r>
      <w:proofErr w:type="spellStart"/>
      <w:r w:rsidR="003014F6" w:rsidRPr="003014F6">
        <w:rPr>
          <w:rFonts w:ascii="Times New Roman" w:hAnsi="Times New Roman" w:cs="Times New Roman"/>
          <w:i/>
        </w:rPr>
        <w:t>Directivei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2004/18/CE”, </w:t>
      </w:r>
      <w:proofErr w:type="spellStart"/>
      <w:r w:rsidR="003014F6" w:rsidRPr="003014F6">
        <w:rPr>
          <w:rFonts w:ascii="Times New Roman" w:hAnsi="Times New Roman" w:cs="Times New Roman"/>
          <w:i/>
        </w:rPr>
        <w:t>privit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individual </w:t>
      </w:r>
      <w:proofErr w:type="spellStart"/>
      <w:r w:rsidR="003014F6" w:rsidRPr="003014F6">
        <w:rPr>
          <w:rFonts w:ascii="Times New Roman" w:hAnsi="Times New Roman" w:cs="Times New Roman"/>
          <w:i/>
        </w:rPr>
        <w:t>și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coroborat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cu </w:t>
      </w:r>
      <w:proofErr w:type="spellStart"/>
      <w:r w:rsidR="003014F6" w:rsidRPr="003014F6">
        <w:rPr>
          <w:rFonts w:ascii="Times New Roman" w:hAnsi="Times New Roman" w:cs="Times New Roman"/>
          <w:i/>
        </w:rPr>
        <w:t>domeniul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de </w:t>
      </w:r>
      <w:proofErr w:type="spellStart"/>
      <w:r w:rsidR="003014F6" w:rsidRPr="003014F6">
        <w:rPr>
          <w:rFonts w:ascii="Times New Roman" w:hAnsi="Times New Roman" w:cs="Times New Roman"/>
          <w:i/>
        </w:rPr>
        <w:t>aplicare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al </w:t>
      </w:r>
      <w:proofErr w:type="spellStart"/>
      <w:r w:rsidR="003014F6" w:rsidRPr="003014F6">
        <w:rPr>
          <w:rFonts w:ascii="Times New Roman" w:hAnsi="Times New Roman" w:cs="Times New Roman"/>
          <w:i/>
        </w:rPr>
        <w:t>principiilor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dreptului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comunitar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, </w:t>
      </w:r>
      <w:proofErr w:type="spellStart"/>
      <w:r w:rsidR="003014F6" w:rsidRPr="003014F6">
        <w:rPr>
          <w:rFonts w:ascii="Times New Roman" w:hAnsi="Times New Roman" w:cs="Times New Roman"/>
          <w:i/>
        </w:rPr>
        <w:t>și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anume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principiile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egalității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, </w:t>
      </w:r>
      <w:proofErr w:type="spellStart"/>
      <w:r w:rsidR="003014F6" w:rsidRPr="003014F6">
        <w:rPr>
          <w:rFonts w:ascii="Times New Roman" w:hAnsi="Times New Roman" w:cs="Times New Roman"/>
          <w:i/>
        </w:rPr>
        <w:t>nediscriminării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și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transparenței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în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materie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de </w:t>
      </w:r>
      <w:proofErr w:type="spellStart"/>
      <w:r w:rsidR="003014F6" w:rsidRPr="003014F6">
        <w:rPr>
          <w:rFonts w:ascii="Times New Roman" w:hAnsi="Times New Roman" w:cs="Times New Roman"/>
          <w:i/>
        </w:rPr>
        <w:t>contracte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de </w:t>
      </w:r>
      <w:proofErr w:type="spellStart"/>
      <w:r w:rsidR="003014F6" w:rsidRPr="003014F6">
        <w:rPr>
          <w:rFonts w:ascii="Times New Roman" w:hAnsi="Times New Roman" w:cs="Times New Roman"/>
          <w:i/>
        </w:rPr>
        <w:t>achiziții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publice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, </w:t>
      </w:r>
      <w:proofErr w:type="spellStart"/>
      <w:r w:rsidR="003014F6" w:rsidRPr="003014F6">
        <w:rPr>
          <w:rFonts w:ascii="Times New Roman" w:hAnsi="Times New Roman" w:cs="Times New Roman"/>
          <w:i/>
        </w:rPr>
        <w:t>trebuie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interpretat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în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sensul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că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autoritatea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contractantă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, </w:t>
      </w:r>
      <w:proofErr w:type="spellStart"/>
      <w:r w:rsidR="003014F6" w:rsidRPr="003014F6">
        <w:rPr>
          <w:rFonts w:ascii="Times New Roman" w:hAnsi="Times New Roman" w:cs="Times New Roman"/>
          <w:i/>
        </w:rPr>
        <w:t>în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cazul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în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care </w:t>
      </w:r>
      <w:proofErr w:type="spellStart"/>
      <w:r w:rsidR="003014F6" w:rsidRPr="003014F6">
        <w:rPr>
          <w:rFonts w:ascii="Times New Roman" w:hAnsi="Times New Roman" w:cs="Times New Roman"/>
          <w:i/>
        </w:rPr>
        <w:t>constată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că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o </w:t>
      </w:r>
      <w:proofErr w:type="spellStart"/>
      <w:r w:rsidR="003014F6" w:rsidRPr="003014F6">
        <w:rPr>
          <w:rFonts w:ascii="Times New Roman" w:hAnsi="Times New Roman" w:cs="Times New Roman"/>
          <w:i/>
        </w:rPr>
        <w:t>entitate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pe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a </w:t>
      </w:r>
      <w:proofErr w:type="spellStart"/>
      <w:r w:rsidR="003014F6" w:rsidRPr="003014F6">
        <w:rPr>
          <w:rFonts w:ascii="Times New Roman" w:hAnsi="Times New Roman" w:cs="Times New Roman"/>
          <w:i/>
        </w:rPr>
        <w:t>cărei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capacitate se </w:t>
      </w:r>
      <w:proofErr w:type="spellStart"/>
      <w:r w:rsidR="003014F6" w:rsidRPr="003014F6">
        <w:rPr>
          <w:rFonts w:ascii="Times New Roman" w:hAnsi="Times New Roman" w:cs="Times New Roman"/>
          <w:i/>
        </w:rPr>
        <w:t>bazează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un operator economic nu </w:t>
      </w:r>
      <w:proofErr w:type="spellStart"/>
      <w:r w:rsidR="003014F6" w:rsidRPr="003014F6">
        <w:rPr>
          <w:rFonts w:ascii="Times New Roman" w:hAnsi="Times New Roman" w:cs="Times New Roman"/>
          <w:i/>
        </w:rPr>
        <w:t>îndeplinește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criteriile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de </w:t>
      </w:r>
      <w:proofErr w:type="spellStart"/>
      <w:r w:rsidR="003014F6" w:rsidRPr="003014F6">
        <w:rPr>
          <w:rFonts w:ascii="Times New Roman" w:hAnsi="Times New Roman" w:cs="Times New Roman"/>
          <w:i/>
        </w:rPr>
        <w:t>selecție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, </w:t>
      </w:r>
      <w:proofErr w:type="spellStart"/>
      <w:r w:rsidR="003014F6" w:rsidRPr="003014F6">
        <w:rPr>
          <w:rFonts w:ascii="Times New Roman" w:hAnsi="Times New Roman" w:cs="Times New Roman"/>
          <w:i/>
        </w:rPr>
        <w:t>este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obligată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să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solicite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operatorului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economic </w:t>
      </w:r>
      <w:proofErr w:type="spellStart"/>
      <w:r w:rsidR="003014F6" w:rsidRPr="003014F6">
        <w:rPr>
          <w:rFonts w:ascii="Times New Roman" w:hAnsi="Times New Roman" w:cs="Times New Roman"/>
          <w:i/>
        </w:rPr>
        <w:t>înlocuirea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acelei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entități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sau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dispune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de </w:t>
      </w:r>
      <w:proofErr w:type="spellStart"/>
      <w:r w:rsidR="003014F6" w:rsidRPr="003014F6">
        <w:rPr>
          <w:rFonts w:ascii="Times New Roman" w:hAnsi="Times New Roman" w:cs="Times New Roman"/>
          <w:i/>
        </w:rPr>
        <w:t>posibilitatea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de a </w:t>
      </w:r>
      <w:proofErr w:type="spellStart"/>
      <w:r w:rsidR="003014F6" w:rsidRPr="003014F6">
        <w:rPr>
          <w:rFonts w:ascii="Times New Roman" w:hAnsi="Times New Roman" w:cs="Times New Roman"/>
          <w:i/>
        </w:rPr>
        <w:t>solicita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această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înlocuire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dacă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operatorul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economic </w:t>
      </w:r>
      <w:proofErr w:type="spellStart"/>
      <w:r w:rsidR="003014F6" w:rsidRPr="003014F6">
        <w:rPr>
          <w:rFonts w:ascii="Times New Roman" w:hAnsi="Times New Roman" w:cs="Times New Roman"/>
          <w:i/>
        </w:rPr>
        <w:t>dorește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="003014F6" w:rsidRPr="003014F6">
        <w:rPr>
          <w:rFonts w:ascii="Times New Roman" w:hAnsi="Times New Roman" w:cs="Times New Roman"/>
          <w:i/>
        </w:rPr>
        <w:t>să</w:t>
      </w:r>
      <w:proofErr w:type="spellEnd"/>
      <w:r w:rsidR="003014F6" w:rsidRPr="003014F6">
        <w:rPr>
          <w:rFonts w:ascii="Times New Roman" w:hAnsi="Times New Roman" w:cs="Times New Roman"/>
          <w:i/>
        </w:rPr>
        <w:t xml:space="preserve"> fie </w:t>
      </w:r>
      <w:proofErr w:type="spellStart"/>
      <w:r w:rsidR="003014F6" w:rsidRPr="003014F6">
        <w:rPr>
          <w:rFonts w:ascii="Times New Roman" w:hAnsi="Times New Roman" w:cs="Times New Roman"/>
          <w:i/>
        </w:rPr>
        <w:t>selectat</w:t>
      </w:r>
      <w:proofErr w:type="spellEnd"/>
      <w:r w:rsidR="003014F6" w:rsidRPr="003014F6">
        <w:rPr>
          <w:rFonts w:ascii="Times New Roman" w:hAnsi="Times New Roman" w:cs="Times New Roman"/>
          <w:i/>
        </w:rPr>
        <w:t>?</w:t>
      </w:r>
    </w:p>
    <w:p w:rsidR="00457A30" w:rsidRPr="00C165D4" w:rsidRDefault="003014F6" w:rsidP="003014F6">
      <w:pPr>
        <w:spacing w:before="120" w:after="120" w:line="276" w:lineRule="auto"/>
        <w:jc w:val="both"/>
        <w:rPr>
          <w:rFonts w:ascii="Times New Roman" w:hAnsi="Times New Roman" w:cs="Times New Roman"/>
          <w:i/>
        </w:rPr>
      </w:pPr>
      <w:proofErr w:type="spellStart"/>
      <w:r w:rsidRPr="003014F6">
        <w:rPr>
          <w:rFonts w:ascii="Times New Roman" w:hAnsi="Times New Roman" w:cs="Times New Roman"/>
          <w:i/>
        </w:rPr>
        <w:t>Există</w:t>
      </w:r>
      <w:proofErr w:type="spellEnd"/>
      <w:r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Pr="003014F6">
        <w:rPr>
          <w:rFonts w:ascii="Times New Roman" w:hAnsi="Times New Roman" w:cs="Times New Roman"/>
          <w:i/>
        </w:rPr>
        <w:t>împrejurări</w:t>
      </w:r>
      <w:proofErr w:type="spellEnd"/>
      <w:r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Pr="003014F6">
        <w:rPr>
          <w:rFonts w:ascii="Times New Roman" w:hAnsi="Times New Roman" w:cs="Times New Roman"/>
          <w:i/>
        </w:rPr>
        <w:t>în</w:t>
      </w:r>
      <w:proofErr w:type="spellEnd"/>
      <w:r w:rsidRPr="003014F6">
        <w:rPr>
          <w:rFonts w:ascii="Times New Roman" w:hAnsi="Times New Roman" w:cs="Times New Roman"/>
          <w:i/>
        </w:rPr>
        <w:t xml:space="preserve"> care </w:t>
      </w:r>
      <w:proofErr w:type="spellStart"/>
      <w:r w:rsidRPr="003014F6">
        <w:rPr>
          <w:rFonts w:ascii="Times New Roman" w:hAnsi="Times New Roman" w:cs="Times New Roman"/>
          <w:i/>
        </w:rPr>
        <w:t>autoritatea</w:t>
      </w:r>
      <w:proofErr w:type="spellEnd"/>
      <w:r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Pr="003014F6">
        <w:rPr>
          <w:rFonts w:ascii="Times New Roman" w:hAnsi="Times New Roman" w:cs="Times New Roman"/>
          <w:i/>
        </w:rPr>
        <w:t>contractantă</w:t>
      </w:r>
      <w:proofErr w:type="spellEnd"/>
      <w:r w:rsidRPr="003014F6">
        <w:rPr>
          <w:rFonts w:ascii="Times New Roman" w:hAnsi="Times New Roman" w:cs="Times New Roman"/>
          <w:i/>
        </w:rPr>
        <w:t xml:space="preserve">, </w:t>
      </w:r>
      <w:proofErr w:type="spellStart"/>
      <w:r w:rsidRPr="003014F6">
        <w:rPr>
          <w:rFonts w:ascii="Times New Roman" w:hAnsi="Times New Roman" w:cs="Times New Roman"/>
          <w:i/>
        </w:rPr>
        <w:t>în</w:t>
      </w:r>
      <w:proofErr w:type="spellEnd"/>
      <w:r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Pr="003014F6">
        <w:rPr>
          <w:rFonts w:ascii="Times New Roman" w:hAnsi="Times New Roman" w:cs="Times New Roman"/>
          <w:i/>
        </w:rPr>
        <w:t>temeiul</w:t>
      </w:r>
      <w:proofErr w:type="spellEnd"/>
      <w:r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Pr="003014F6">
        <w:rPr>
          <w:rFonts w:ascii="Times New Roman" w:hAnsi="Times New Roman" w:cs="Times New Roman"/>
          <w:i/>
        </w:rPr>
        <w:t>principiilor</w:t>
      </w:r>
      <w:proofErr w:type="spellEnd"/>
      <w:r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Pr="003014F6">
        <w:rPr>
          <w:rFonts w:ascii="Times New Roman" w:hAnsi="Times New Roman" w:cs="Times New Roman"/>
          <w:i/>
        </w:rPr>
        <w:t>egalității</w:t>
      </w:r>
      <w:proofErr w:type="spellEnd"/>
      <w:r w:rsidRPr="003014F6">
        <w:rPr>
          <w:rFonts w:ascii="Times New Roman" w:hAnsi="Times New Roman" w:cs="Times New Roman"/>
          <w:i/>
        </w:rPr>
        <w:t xml:space="preserve">, </w:t>
      </w:r>
      <w:proofErr w:type="spellStart"/>
      <w:r w:rsidRPr="003014F6">
        <w:rPr>
          <w:rFonts w:ascii="Times New Roman" w:hAnsi="Times New Roman" w:cs="Times New Roman"/>
          <w:i/>
        </w:rPr>
        <w:t>nediscriminării</w:t>
      </w:r>
      <w:proofErr w:type="spellEnd"/>
      <w:r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Pr="003014F6">
        <w:rPr>
          <w:rFonts w:ascii="Times New Roman" w:hAnsi="Times New Roman" w:cs="Times New Roman"/>
          <w:i/>
        </w:rPr>
        <w:t>și</w:t>
      </w:r>
      <w:proofErr w:type="spellEnd"/>
      <w:r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Pr="003014F6">
        <w:rPr>
          <w:rFonts w:ascii="Times New Roman" w:hAnsi="Times New Roman" w:cs="Times New Roman"/>
          <w:i/>
        </w:rPr>
        <w:t>transparenței</w:t>
      </w:r>
      <w:proofErr w:type="spellEnd"/>
      <w:r w:rsidRPr="003014F6">
        <w:rPr>
          <w:rFonts w:ascii="Times New Roman" w:hAnsi="Times New Roman" w:cs="Times New Roman"/>
          <w:i/>
        </w:rPr>
        <w:t xml:space="preserve">, </w:t>
      </w:r>
      <w:proofErr w:type="spellStart"/>
      <w:r w:rsidRPr="003014F6">
        <w:rPr>
          <w:rFonts w:ascii="Times New Roman" w:hAnsi="Times New Roman" w:cs="Times New Roman"/>
          <w:i/>
        </w:rPr>
        <w:t>și</w:t>
      </w:r>
      <w:proofErr w:type="spellEnd"/>
      <w:r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Pr="003014F6">
        <w:rPr>
          <w:rFonts w:ascii="Times New Roman" w:hAnsi="Times New Roman" w:cs="Times New Roman"/>
          <w:i/>
        </w:rPr>
        <w:t>în</w:t>
      </w:r>
      <w:proofErr w:type="spellEnd"/>
      <w:r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Pr="003014F6">
        <w:rPr>
          <w:rFonts w:ascii="Times New Roman" w:hAnsi="Times New Roman" w:cs="Times New Roman"/>
          <w:i/>
        </w:rPr>
        <w:t>funcție</w:t>
      </w:r>
      <w:proofErr w:type="spellEnd"/>
      <w:r w:rsidRPr="003014F6">
        <w:rPr>
          <w:rFonts w:ascii="Times New Roman" w:hAnsi="Times New Roman" w:cs="Times New Roman"/>
          <w:i/>
        </w:rPr>
        <w:t xml:space="preserve"> de </w:t>
      </w:r>
      <w:proofErr w:type="spellStart"/>
      <w:r w:rsidRPr="003014F6">
        <w:rPr>
          <w:rFonts w:ascii="Times New Roman" w:hAnsi="Times New Roman" w:cs="Times New Roman"/>
          <w:i/>
        </w:rPr>
        <w:t>desfășurarea</w:t>
      </w:r>
      <w:proofErr w:type="spellEnd"/>
      <w:r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Pr="003014F6">
        <w:rPr>
          <w:rFonts w:ascii="Times New Roman" w:hAnsi="Times New Roman" w:cs="Times New Roman"/>
          <w:i/>
        </w:rPr>
        <w:t>procedurii</w:t>
      </w:r>
      <w:proofErr w:type="spellEnd"/>
      <w:r w:rsidRPr="003014F6">
        <w:rPr>
          <w:rFonts w:ascii="Times New Roman" w:hAnsi="Times New Roman" w:cs="Times New Roman"/>
          <w:i/>
        </w:rPr>
        <w:t xml:space="preserve"> de </w:t>
      </w:r>
      <w:proofErr w:type="spellStart"/>
      <w:r w:rsidRPr="003014F6">
        <w:rPr>
          <w:rFonts w:ascii="Times New Roman" w:hAnsi="Times New Roman" w:cs="Times New Roman"/>
          <w:i/>
        </w:rPr>
        <w:t>atribuire</w:t>
      </w:r>
      <w:proofErr w:type="spellEnd"/>
      <w:r w:rsidRPr="003014F6">
        <w:rPr>
          <w:rFonts w:ascii="Times New Roman" w:hAnsi="Times New Roman" w:cs="Times New Roman"/>
          <w:i/>
        </w:rPr>
        <w:t>, nu (</w:t>
      </w:r>
      <w:proofErr w:type="spellStart"/>
      <w:r w:rsidRPr="003014F6">
        <w:rPr>
          <w:rFonts w:ascii="Times New Roman" w:hAnsi="Times New Roman" w:cs="Times New Roman"/>
          <w:i/>
        </w:rPr>
        <w:t>mai</w:t>
      </w:r>
      <w:proofErr w:type="spellEnd"/>
      <w:r w:rsidRPr="003014F6">
        <w:rPr>
          <w:rFonts w:ascii="Times New Roman" w:hAnsi="Times New Roman" w:cs="Times New Roman"/>
          <w:i/>
        </w:rPr>
        <w:t xml:space="preserve">) </w:t>
      </w:r>
      <w:proofErr w:type="spellStart"/>
      <w:r w:rsidRPr="003014F6">
        <w:rPr>
          <w:rFonts w:ascii="Times New Roman" w:hAnsi="Times New Roman" w:cs="Times New Roman"/>
          <w:i/>
        </w:rPr>
        <w:t>trebuie</w:t>
      </w:r>
      <w:proofErr w:type="spellEnd"/>
      <w:r w:rsidRPr="003014F6">
        <w:rPr>
          <w:rFonts w:ascii="Times New Roman" w:hAnsi="Times New Roman" w:cs="Times New Roman"/>
          <w:i/>
        </w:rPr>
        <w:t xml:space="preserve"> </w:t>
      </w:r>
      <w:proofErr w:type="spellStart"/>
      <w:r w:rsidRPr="003014F6">
        <w:rPr>
          <w:rFonts w:ascii="Times New Roman" w:hAnsi="Times New Roman" w:cs="Times New Roman"/>
          <w:i/>
        </w:rPr>
        <w:t>sau</w:t>
      </w:r>
      <w:proofErr w:type="spellEnd"/>
      <w:r w:rsidRPr="003014F6">
        <w:rPr>
          <w:rFonts w:ascii="Times New Roman" w:hAnsi="Times New Roman" w:cs="Times New Roman"/>
          <w:i/>
        </w:rPr>
        <w:t xml:space="preserve"> nu (</w:t>
      </w:r>
      <w:proofErr w:type="spellStart"/>
      <w:r w:rsidRPr="003014F6">
        <w:rPr>
          <w:rFonts w:ascii="Times New Roman" w:hAnsi="Times New Roman" w:cs="Times New Roman"/>
          <w:i/>
        </w:rPr>
        <w:t>mai</w:t>
      </w:r>
      <w:proofErr w:type="spellEnd"/>
      <w:r w:rsidRPr="003014F6">
        <w:rPr>
          <w:rFonts w:ascii="Times New Roman" w:hAnsi="Times New Roman" w:cs="Times New Roman"/>
          <w:i/>
        </w:rPr>
        <w:t xml:space="preserve">) </w:t>
      </w:r>
      <w:proofErr w:type="spellStart"/>
      <w:r w:rsidRPr="003014F6">
        <w:rPr>
          <w:rFonts w:ascii="Times New Roman" w:hAnsi="Times New Roman" w:cs="Times New Roman"/>
          <w:i/>
        </w:rPr>
        <w:t>poate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solicita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efectuarea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înlocuirii</w:t>
      </w:r>
      <w:proofErr w:type="spellEnd"/>
      <w:r w:rsidR="007F32F3" w:rsidRPr="007F32F3">
        <w:rPr>
          <w:rFonts w:ascii="Times New Roman" w:hAnsi="Times New Roman" w:cs="Times New Roman"/>
          <w:i/>
        </w:rPr>
        <w:t>?</w:t>
      </w:r>
      <w:r w:rsidR="001F28A9" w:rsidRPr="00C165D4">
        <w:rPr>
          <w:rFonts w:ascii="Times New Roman" w:hAnsi="Times New Roman" w:cs="Times New Roman"/>
          <w:i/>
        </w:rPr>
        <w:t>”</w:t>
      </w:r>
    </w:p>
    <w:p w:rsidR="00457A30" w:rsidRPr="005C3D22" w:rsidRDefault="005C3D22" w:rsidP="00C345E5">
      <w:pPr>
        <w:spacing w:before="120" w:after="120" w:line="276" w:lineRule="auto"/>
        <w:jc w:val="both"/>
        <w:rPr>
          <w:rFonts w:ascii="Times New Roman" w:hAnsi="Times New Roman" w:cs="Times New Roman"/>
          <w:b/>
          <w:lang w:val="ro-RO"/>
        </w:rPr>
      </w:pPr>
      <w:r w:rsidRPr="005C3D22">
        <w:rPr>
          <w:rFonts w:ascii="Times New Roman" w:hAnsi="Times New Roman" w:cs="Times New Roman"/>
          <w:b/>
          <w:lang w:val="ro-RO"/>
        </w:rPr>
        <w:t xml:space="preserve">Soluție: </w:t>
      </w:r>
    </w:p>
    <w:p w:rsidR="0077192E" w:rsidRPr="000C7048" w:rsidRDefault="006B69ED" w:rsidP="00134A15">
      <w:pPr>
        <w:spacing w:before="120" w:after="120" w:line="276" w:lineRule="auto"/>
        <w:jc w:val="both"/>
        <w:rPr>
          <w:rFonts w:ascii="Times New Roman" w:hAnsi="Times New Roman" w:cs="Times New Roman"/>
          <w:b/>
          <w:lang w:val="ro-RO"/>
        </w:rPr>
      </w:pPr>
      <w:r>
        <w:t>„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Articolul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63 (1) al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doilea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paragraf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din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Directiva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2014/24/UE a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Parlamentului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European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Consiliului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din 26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februarie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2014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privind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atribuirea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contracte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publice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abrogare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Directivei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2004/18/CE,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citită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coroborat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cu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principiile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egalitatea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tratament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nediscriminarea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proporționalitatea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astfel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cum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sunt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lastRenderedPageBreak/>
        <w:t>prevăzute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la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articolul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18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alineatul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(1) din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directiva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menționată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trebuie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interpretate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în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sensul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că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atunci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când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constată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că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o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entitate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cu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capacități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pe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care un operator economic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intenționează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să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le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utilizeze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nu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îndeplinește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criteriile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selecție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autoritatea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contractantă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trebuie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să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solicite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acestui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operator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să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înlocuiască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această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entitate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dacă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nu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dorește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să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fie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exclusă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din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proced</w:t>
      </w:r>
      <w:bookmarkStart w:id="0" w:name="_GoBack"/>
      <w:bookmarkEnd w:id="0"/>
      <w:r w:rsidR="000C7048" w:rsidRPr="000C7048">
        <w:rPr>
          <w:rFonts w:ascii="Times New Roman" w:hAnsi="Times New Roman" w:cs="Times New Roman"/>
          <w:b/>
          <w:bCs/>
          <w:color w:val="000000"/>
        </w:rPr>
        <w:t>ura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achiziție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în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0C7048" w:rsidRPr="000C7048">
        <w:rPr>
          <w:rFonts w:ascii="Times New Roman" w:hAnsi="Times New Roman" w:cs="Times New Roman"/>
          <w:b/>
          <w:bCs/>
          <w:color w:val="000000"/>
        </w:rPr>
        <w:t>cauză</w:t>
      </w:r>
      <w:proofErr w:type="spellEnd"/>
      <w:r w:rsidR="000C7048" w:rsidRPr="000C7048">
        <w:rPr>
          <w:rFonts w:ascii="Times New Roman" w:hAnsi="Times New Roman" w:cs="Times New Roman"/>
          <w:b/>
          <w:bCs/>
          <w:color w:val="000000"/>
        </w:rPr>
        <w:t>.</w:t>
      </w:r>
      <w:r w:rsidRPr="000C7048">
        <w:rPr>
          <w:rFonts w:ascii="Times New Roman" w:hAnsi="Times New Roman" w:cs="Times New Roman"/>
          <w:b/>
        </w:rPr>
        <w:t>”</w:t>
      </w:r>
    </w:p>
    <w:sectPr w:rsidR="0077192E" w:rsidRPr="000C7048" w:rsidSect="008902B0">
      <w:footerReference w:type="default" r:id="rId7"/>
      <w:pgSz w:w="12240" w:h="15840"/>
      <w:pgMar w:top="567" w:right="900" w:bottom="426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18" w:rsidRDefault="00150B18" w:rsidP="004F21C1">
      <w:pPr>
        <w:spacing w:after="0" w:line="240" w:lineRule="auto"/>
      </w:pPr>
      <w:r>
        <w:separator/>
      </w:r>
    </w:p>
  </w:endnote>
  <w:endnote w:type="continuationSeparator" w:id="0">
    <w:p w:rsidR="00150B18" w:rsidRDefault="00150B18" w:rsidP="004F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781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21C1" w:rsidRDefault="004F21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0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21C1" w:rsidRDefault="004F2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18" w:rsidRDefault="00150B18" w:rsidP="004F21C1">
      <w:pPr>
        <w:spacing w:after="0" w:line="240" w:lineRule="auto"/>
      </w:pPr>
      <w:r>
        <w:separator/>
      </w:r>
    </w:p>
  </w:footnote>
  <w:footnote w:type="continuationSeparator" w:id="0">
    <w:p w:rsidR="00150B18" w:rsidRDefault="00150B18" w:rsidP="004F2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1378C"/>
    <w:multiLevelType w:val="hybridMultilevel"/>
    <w:tmpl w:val="CE288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C7CAE"/>
    <w:multiLevelType w:val="multilevel"/>
    <w:tmpl w:val="CD1E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07148C"/>
    <w:multiLevelType w:val="hybridMultilevel"/>
    <w:tmpl w:val="4B383710"/>
    <w:lvl w:ilvl="0" w:tplc="D2BE78DC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04446"/>
    <w:multiLevelType w:val="hybridMultilevel"/>
    <w:tmpl w:val="5C44236A"/>
    <w:lvl w:ilvl="0" w:tplc="78E4263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64727"/>
    <w:multiLevelType w:val="hybridMultilevel"/>
    <w:tmpl w:val="6F5450DC"/>
    <w:lvl w:ilvl="0" w:tplc="133ADA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8D"/>
    <w:rsid w:val="00033CED"/>
    <w:rsid w:val="00037950"/>
    <w:rsid w:val="00046D17"/>
    <w:rsid w:val="00047E32"/>
    <w:rsid w:val="00056BEC"/>
    <w:rsid w:val="00057BF1"/>
    <w:rsid w:val="00090597"/>
    <w:rsid w:val="000C7048"/>
    <w:rsid w:val="000E3E80"/>
    <w:rsid w:val="000F6780"/>
    <w:rsid w:val="000F68A0"/>
    <w:rsid w:val="00103442"/>
    <w:rsid w:val="00105A7C"/>
    <w:rsid w:val="00106786"/>
    <w:rsid w:val="00110627"/>
    <w:rsid w:val="0011603F"/>
    <w:rsid w:val="00117D0B"/>
    <w:rsid w:val="00134A15"/>
    <w:rsid w:val="001374F9"/>
    <w:rsid w:val="00144B4B"/>
    <w:rsid w:val="001500BB"/>
    <w:rsid w:val="00150B18"/>
    <w:rsid w:val="0017026E"/>
    <w:rsid w:val="00173889"/>
    <w:rsid w:val="0019474F"/>
    <w:rsid w:val="00195D9A"/>
    <w:rsid w:val="001D0DD4"/>
    <w:rsid w:val="001D6B0F"/>
    <w:rsid w:val="001F28A9"/>
    <w:rsid w:val="001F68B1"/>
    <w:rsid w:val="00211DA9"/>
    <w:rsid w:val="002263AA"/>
    <w:rsid w:val="00235398"/>
    <w:rsid w:val="00237DA0"/>
    <w:rsid w:val="00240A2E"/>
    <w:rsid w:val="00254B13"/>
    <w:rsid w:val="00255F2E"/>
    <w:rsid w:val="00262E38"/>
    <w:rsid w:val="00291728"/>
    <w:rsid w:val="002955E2"/>
    <w:rsid w:val="002A043E"/>
    <w:rsid w:val="002B29AE"/>
    <w:rsid w:val="002B4E9B"/>
    <w:rsid w:val="002C438C"/>
    <w:rsid w:val="002C53F8"/>
    <w:rsid w:val="002D1BAD"/>
    <w:rsid w:val="002D441E"/>
    <w:rsid w:val="003014F6"/>
    <w:rsid w:val="003023CF"/>
    <w:rsid w:val="0030692D"/>
    <w:rsid w:val="00322093"/>
    <w:rsid w:val="00325B1D"/>
    <w:rsid w:val="00325F0A"/>
    <w:rsid w:val="00340CE2"/>
    <w:rsid w:val="0035231A"/>
    <w:rsid w:val="003754DB"/>
    <w:rsid w:val="00375B7D"/>
    <w:rsid w:val="003961E5"/>
    <w:rsid w:val="003A30AB"/>
    <w:rsid w:val="003A5763"/>
    <w:rsid w:val="003C0EC1"/>
    <w:rsid w:val="003C2F78"/>
    <w:rsid w:val="003D4732"/>
    <w:rsid w:val="003E34C0"/>
    <w:rsid w:val="00401860"/>
    <w:rsid w:val="004111FC"/>
    <w:rsid w:val="004113B0"/>
    <w:rsid w:val="00413332"/>
    <w:rsid w:val="00414957"/>
    <w:rsid w:val="00436121"/>
    <w:rsid w:val="004370B2"/>
    <w:rsid w:val="00447C8E"/>
    <w:rsid w:val="00457A30"/>
    <w:rsid w:val="0046012B"/>
    <w:rsid w:val="004611B3"/>
    <w:rsid w:val="00462ED4"/>
    <w:rsid w:val="004668DB"/>
    <w:rsid w:val="004724B3"/>
    <w:rsid w:val="00490EDC"/>
    <w:rsid w:val="004951D2"/>
    <w:rsid w:val="00495503"/>
    <w:rsid w:val="004A0E05"/>
    <w:rsid w:val="004A57F2"/>
    <w:rsid w:val="004B04E8"/>
    <w:rsid w:val="004B34B2"/>
    <w:rsid w:val="004C388A"/>
    <w:rsid w:val="004C681C"/>
    <w:rsid w:val="004F21C1"/>
    <w:rsid w:val="00502C68"/>
    <w:rsid w:val="00507D0D"/>
    <w:rsid w:val="00513FCC"/>
    <w:rsid w:val="0051524F"/>
    <w:rsid w:val="00530DD9"/>
    <w:rsid w:val="005409DE"/>
    <w:rsid w:val="00543C22"/>
    <w:rsid w:val="005528C1"/>
    <w:rsid w:val="00556C8B"/>
    <w:rsid w:val="00560116"/>
    <w:rsid w:val="005620F8"/>
    <w:rsid w:val="0056210B"/>
    <w:rsid w:val="00565876"/>
    <w:rsid w:val="00567A53"/>
    <w:rsid w:val="005756DC"/>
    <w:rsid w:val="00581A19"/>
    <w:rsid w:val="005945A4"/>
    <w:rsid w:val="00596F27"/>
    <w:rsid w:val="005C3D22"/>
    <w:rsid w:val="005E52A6"/>
    <w:rsid w:val="005F4B71"/>
    <w:rsid w:val="005F4F72"/>
    <w:rsid w:val="00602820"/>
    <w:rsid w:val="0062377B"/>
    <w:rsid w:val="006348AC"/>
    <w:rsid w:val="00643D07"/>
    <w:rsid w:val="00644AAA"/>
    <w:rsid w:val="00647E49"/>
    <w:rsid w:val="006513FA"/>
    <w:rsid w:val="00651CE9"/>
    <w:rsid w:val="0065365B"/>
    <w:rsid w:val="00666313"/>
    <w:rsid w:val="006734D7"/>
    <w:rsid w:val="006754CE"/>
    <w:rsid w:val="006811FE"/>
    <w:rsid w:val="006A0EC0"/>
    <w:rsid w:val="006A4DA7"/>
    <w:rsid w:val="006A6A1D"/>
    <w:rsid w:val="006B31B9"/>
    <w:rsid w:val="006B69ED"/>
    <w:rsid w:val="006B6EC3"/>
    <w:rsid w:val="006C0819"/>
    <w:rsid w:val="006F1E30"/>
    <w:rsid w:val="00722CE2"/>
    <w:rsid w:val="00737D39"/>
    <w:rsid w:val="00751707"/>
    <w:rsid w:val="0075300B"/>
    <w:rsid w:val="0077192E"/>
    <w:rsid w:val="00773B31"/>
    <w:rsid w:val="00781285"/>
    <w:rsid w:val="00783B28"/>
    <w:rsid w:val="00794A33"/>
    <w:rsid w:val="007C3939"/>
    <w:rsid w:val="007C662E"/>
    <w:rsid w:val="007D00C0"/>
    <w:rsid w:val="007D288D"/>
    <w:rsid w:val="007E67E9"/>
    <w:rsid w:val="007E7C01"/>
    <w:rsid w:val="007F1D62"/>
    <w:rsid w:val="007F1DEE"/>
    <w:rsid w:val="007F32F3"/>
    <w:rsid w:val="007F6412"/>
    <w:rsid w:val="008056B2"/>
    <w:rsid w:val="008108BA"/>
    <w:rsid w:val="0084575C"/>
    <w:rsid w:val="00851DA6"/>
    <w:rsid w:val="00886DBB"/>
    <w:rsid w:val="008902B0"/>
    <w:rsid w:val="00897C14"/>
    <w:rsid w:val="008B1257"/>
    <w:rsid w:val="008D07B2"/>
    <w:rsid w:val="008D0D42"/>
    <w:rsid w:val="008D1DA0"/>
    <w:rsid w:val="008D247A"/>
    <w:rsid w:val="008E272B"/>
    <w:rsid w:val="008E4431"/>
    <w:rsid w:val="008E6301"/>
    <w:rsid w:val="008E6B08"/>
    <w:rsid w:val="00913920"/>
    <w:rsid w:val="00914F9C"/>
    <w:rsid w:val="009215C2"/>
    <w:rsid w:val="00926E36"/>
    <w:rsid w:val="00931470"/>
    <w:rsid w:val="009360F4"/>
    <w:rsid w:val="00940A5C"/>
    <w:rsid w:val="00946AE2"/>
    <w:rsid w:val="009736A4"/>
    <w:rsid w:val="0097561C"/>
    <w:rsid w:val="009923EA"/>
    <w:rsid w:val="00993DC5"/>
    <w:rsid w:val="009A7338"/>
    <w:rsid w:val="009B0F02"/>
    <w:rsid w:val="009C229A"/>
    <w:rsid w:val="009D56A5"/>
    <w:rsid w:val="009D7431"/>
    <w:rsid w:val="009E1B39"/>
    <w:rsid w:val="009E2CEE"/>
    <w:rsid w:val="009F20B7"/>
    <w:rsid w:val="009F7985"/>
    <w:rsid w:val="00A019DE"/>
    <w:rsid w:val="00A01D77"/>
    <w:rsid w:val="00A2348E"/>
    <w:rsid w:val="00A31597"/>
    <w:rsid w:val="00A315A7"/>
    <w:rsid w:val="00A40D4B"/>
    <w:rsid w:val="00A5491A"/>
    <w:rsid w:val="00A55ADE"/>
    <w:rsid w:val="00A57CED"/>
    <w:rsid w:val="00A63E0E"/>
    <w:rsid w:val="00A6737B"/>
    <w:rsid w:val="00A70E0D"/>
    <w:rsid w:val="00A7263F"/>
    <w:rsid w:val="00A74AAB"/>
    <w:rsid w:val="00A76389"/>
    <w:rsid w:val="00A82712"/>
    <w:rsid w:val="00A8744D"/>
    <w:rsid w:val="00A91B0A"/>
    <w:rsid w:val="00A9738C"/>
    <w:rsid w:val="00AA68C6"/>
    <w:rsid w:val="00AC5729"/>
    <w:rsid w:val="00AD0393"/>
    <w:rsid w:val="00AD0637"/>
    <w:rsid w:val="00AE342B"/>
    <w:rsid w:val="00B26C0F"/>
    <w:rsid w:val="00B360DB"/>
    <w:rsid w:val="00B5448C"/>
    <w:rsid w:val="00B8108B"/>
    <w:rsid w:val="00B831A5"/>
    <w:rsid w:val="00B83D00"/>
    <w:rsid w:val="00B85E99"/>
    <w:rsid w:val="00B90EEC"/>
    <w:rsid w:val="00BA1415"/>
    <w:rsid w:val="00BA41C7"/>
    <w:rsid w:val="00BA7EC7"/>
    <w:rsid w:val="00BC23D4"/>
    <w:rsid w:val="00BC316D"/>
    <w:rsid w:val="00BD42FB"/>
    <w:rsid w:val="00BD764A"/>
    <w:rsid w:val="00BF70B0"/>
    <w:rsid w:val="00C02350"/>
    <w:rsid w:val="00C038B2"/>
    <w:rsid w:val="00C125A4"/>
    <w:rsid w:val="00C165D4"/>
    <w:rsid w:val="00C20FAF"/>
    <w:rsid w:val="00C345E5"/>
    <w:rsid w:val="00C35D1B"/>
    <w:rsid w:val="00C4211E"/>
    <w:rsid w:val="00C43880"/>
    <w:rsid w:val="00C56939"/>
    <w:rsid w:val="00C573B8"/>
    <w:rsid w:val="00C7513E"/>
    <w:rsid w:val="00C83771"/>
    <w:rsid w:val="00C90DEC"/>
    <w:rsid w:val="00C91BFB"/>
    <w:rsid w:val="00C962C1"/>
    <w:rsid w:val="00CA2913"/>
    <w:rsid w:val="00CD438A"/>
    <w:rsid w:val="00CE78F8"/>
    <w:rsid w:val="00CE7D4B"/>
    <w:rsid w:val="00CF18AB"/>
    <w:rsid w:val="00CF298F"/>
    <w:rsid w:val="00CF2B3D"/>
    <w:rsid w:val="00CF5182"/>
    <w:rsid w:val="00D068E2"/>
    <w:rsid w:val="00D15723"/>
    <w:rsid w:val="00D31CAB"/>
    <w:rsid w:val="00D36C29"/>
    <w:rsid w:val="00D44FB0"/>
    <w:rsid w:val="00D556A4"/>
    <w:rsid w:val="00D57134"/>
    <w:rsid w:val="00D75A43"/>
    <w:rsid w:val="00DA00E6"/>
    <w:rsid w:val="00DA4D37"/>
    <w:rsid w:val="00DB0C11"/>
    <w:rsid w:val="00DC022B"/>
    <w:rsid w:val="00DE08FC"/>
    <w:rsid w:val="00DF477E"/>
    <w:rsid w:val="00E005BC"/>
    <w:rsid w:val="00E10D74"/>
    <w:rsid w:val="00E10EF5"/>
    <w:rsid w:val="00E31C43"/>
    <w:rsid w:val="00E31FEC"/>
    <w:rsid w:val="00E4139E"/>
    <w:rsid w:val="00E50008"/>
    <w:rsid w:val="00E6780D"/>
    <w:rsid w:val="00E67A07"/>
    <w:rsid w:val="00E67AF6"/>
    <w:rsid w:val="00E7380E"/>
    <w:rsid w:val="00E77504"/>
    <w:rsid w:val="00E80CAA"/>
    <w:rsid w:val="00E920CA"/>
    <w:rsid w:val="00EA2D64"/>
    <w:rsid w:val="00EC36E4"/>
    <w:rsid w:val="00ED6CFD"/>
    <w:rsid w:val="00EE67A8"/>
    <w:rsid w:val="00F0057D"/>
    <w:rsid w:val="00F16D18"/>
    <w:rsid w:val="00F17A49"/>
    <w:rsid w:val="00F3045E"/>
    <w:rsid w:val="00F3081C"/>
    <w:rsid w:val="00F340D0"/>
    <w:rsid w:val="00F42658"/>
    <w:rsid w:val="00F4697F"/>
    <w:rsid w:val="00F478F9"/>
    <w:rsid w:val="00F644A2"/>
    <w:rsid w:val="00F7404B"/>
    <w:rsid w:val="00F85D12"/>
    <w:rsid w:val="00FB279E"/>
    <w:rsid w:val="00FB42ED"/>
    <w:rsid w:val="00FC5DA6"/>
    <w:rsid w:val="00FD039E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BCF70-B907-49B1-B759-AC4D71DF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6BEC"/>
    <w:rPr>
      <w:color w:val="0000FF"/>
      <w:u w:val="single"/>
    </w:rPr>
  </w:style>
  <w:style w:type="paragraph" w:customStyle="1" w:styleId="c08dispositif">
    <w:name w:val="c08dispositif"/>
    <w:basedOn w:val="Normal"/>
    <w:rsid w:val="0029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1728"/>
    <w:pPr>
      <w:ind w:left="720"/>
      <w:contextualSpacing/>
    </w:pPr>
  </w:style>
  <w:style w:type="paragraph" w:customStyle="1" w:styleId="c01pointnumerotealtn">
    <w:name w:val="c01pointnumerotealtn"/>
    <w:basedOn w:val="Normal"/>
    <w:rsid w:val="0019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E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2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C1"/>
  </w:style>
  <w:style w:type="paragraph" w:styleId="Footer">
    <w:name w:val="footer"/>
    <w:basedOn w:val="Normal"/>
    <w:link w:val="FooterChar"/>
    <w:uiPriority w:val="99"/>
    <w:unhideWhenUsed/>
    <w:rsid w:val="004F2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Negrila</dc:creator>
  <cp:keywords/>
  <dc:description/>
  <cp:lastModifiedBy>Anda Negrila</cp:lastModifiedBy>
  <cp:revision>258</cp:revision>
  <cp:lastPrinted>2018-10-19T07:22:00Z</cp:lastPrinted>
  <dcterms:created xsi:type="dcterms:W3CDTF">2018-10-19T06:05:00Z</dcterms:created>
  <dcterms:modified xsi:type="dcterms:W3CDTF">2021-10-22T08:28:00Z</dcterms:modified>
</cp:coreProperties>
</file>