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763" w:rsidRPr="00EF0451" w:rsidRDefault="00117D0B" w:rsidP="00117D0B">
      <w:pPr>
        <w:tabs>
          <w:tab w:val="left" w:pos="3705"/>
          <w:tab w:val="center" w:pos="5085"/>
        </w:tabs>
        <w:spacing w:before="120" w:after="120" w:line="276" w:lineRule="auto"/>
        <w:rPr>
          <w:rFonts w:ascii="Times New Roman" w:hAnsi="Times New Roman" w:cs="Times New Roman"/>
          <w:b/>
          <w:highlight w:val="yellow"/>
          <w:lang w:val="ro-RO"/>
        </w:rPr>
      </w:pPr>
      <w:r w:rsidRPr="001374F9">
        <w:rPr>
          <w:rFonts w:ascii="Times New Roman" w:hAnsi="Times New Roman" w:cs="Times New Roman"/>
          <w:b/>
          <w:lang w:val="ro-RO"/>
        </w:rPr>
        <w:tab/>
      </w:r>
      <w:r w:rsidRPr="001374F9">
        <w:rPr>
          <w:rFonts w:ascii="Times New Roman" w:hAnsi="Times New Roman" w:cs="Times New Roman"/>
          <w:b/>
          <w:lang w:val="ro-RO"/>
        </w:rPr>
        <w:tab/>
      </w:r>
      <w:r w:rsidR="008705D3" w:rsidRPr="00C32F2C">
        <w:rPr>
          <w:rFonts w:ascii="Times New Roman" w:hAnsi="Times New Roman" w:cs="Times New Roman"/>
          <w:b/>
          <w:lang w:val="ro-RO"/>
        </w:rPr>
        <w:t>Cauza</w:t>
      </w:r>
      <w:r w:rsidR="00340CE2" w:rsidRPr="00C32F2C">
        <w:rPr>
          <w:rFonts w:ascii="Times New Roman" w:hAnsi="Times New Roman" w:cs="Times New Roman"/>
          <w:b/>
          <w:lang w:val="ro-RO"/>
        </w:rPr>
        <w:t xml:space="preserve"> </w:t>
      </w:r>
      <w:r w:rsidR="00BC44E8" w:rsidRPr="00BC44E8">
        <w:rPr>
          <w:rFonts w:ascii="Times New Roman" w:hAnsi="Times New Roman" w:cs="Times New Roman"/>
          <w:b/>
          <w:lang w:val="ro-RO"/>
        </w:rPr>
        <w:t>C-471/21</w:t>
      </w:r>
    </w:p>
    <w:p w:rsidR="00BC44E8" w:rsidRDefault="00BC44E8" w:rsidP="008D247A">
      <w:pPr>
        <w:tabs>
          <w:tab w:val="left" w:pos="3705"/>
          <w:tab w:val="center" w:pos="5085"/>
        </w:tabs>
        <w:spacing w:before="120" w:after="120" w:line="276" w:lineRule="auto"/>
        <w:jc w:val="center"/>
        <w:rPr>
          <w:rFonts w:ascii="Times New Roman" w:hAnsi="Times New Roman" w:cs="Times New Roman"/>
          <w:lang w:val="ro-RO"/>
        </w:rPr>
      </w:pPr>
      <w:r w:rsidRPr="00BC44E8">
        <w:rPr>
          <w:rFonts w:ascii="Times New Roman" w:hAnsi="Times New Roman" w:cs="Times New Roman"/>
          <w:lang w:val="ro-RO"/>
        </w:rPr>
        <w:t>Inivos Ltd, Inivos BV/Comisia Europeană</w:t>
      </w:r>
    </w:p>
    <w:p w:rsidR="00BC44E8" w:rsidRPr="00BC44E8" w:rsidRDefault="00BC44E8" w:rsidP="00BC44E8">
      <w:pPr>
        <w:pStyle w:val="c19centre"/>
        <w:spacing w:before="0" w:beforeAutospacing="0" w:after="120" w:afterAutospacing="0"/>
        <w:ind w:left="567"/>
        <w:jc w:val="center"/>
        <w:rPr>
          <w:rFonts w:eastAsiaTheme="minorHAnsi"/>
          <w:b/>
          <w:sz w:val="22"/>
          <w:szCs w:val="22"/>
          <w:lang w:val="ro-RO"/>
        </w:rPr>
      </w:pPr>
      <w:r w:rsidRPr="00BC44E8">
        <w:rPr>
          <w:rFonts w:eastAsiaTheme="minorHAnsi"/>
          <w:b/>
          <w:sz w:val="22"/>
          <w:szCs w:val="22"/>
          <w:lang w:val="ro-RO"/>
        </w:rPr>
        <w:t>ORDONANȚA VICEPREȘEDINTELUI CURȚII</w:t>
      </w:r>
    </w:p>
    <w:p w:rsidR="00BC44E8" w:rsidRPr="00BC44E8" w:rsidRDefault="00BC44E8" w:rsidP="00BC44E8">
      <w:pPr>
        <w:pStyle w:val="c19centre"/>
        <w:spacing w:before="120" w:beforeAutospacing="0" w:after="120" w:afterAutospacing="0"/>
        <w:ind w:left="567"/>
        <w:jc w:val="center"/>
        <w:rPr>
          <w:rFonts w:eastAsiaTheme="minorHAnsi"/>
          <w:sz w:val="22"/>
          <w:szCs w:val="22"/>
          <w:lang w:val="ro-RO"/>
        </w:rPr>
      </w:pPr>
      <w:r w:rsidRPr="00BC44E8">
        <w:rPr>
          <w:rFonts w:eastAsiaTheme="minorHAnsi"/>
          <w:sz w:val="22"/>
          <w:szCs w:val="22"/>
          <w:lang w:val="ro-RO"/>
        </w:rPr>
        <w:t xml:space="preserve">1 </w:t>
      </w:r>
      <w:proofErr w:type="spellStart"/>
      <w:r w:rsidRPr="00BC44E8">
        <w:rPr>
          <w:rFonts w:eastAsiaTheme="minorHAnsi"/>
          <w:sz w:val="22"/>
          <w:szCs w:val="22"/>
          <w:lang w:val="ro-RO"/>
        </w:rPr>
        <w:t>decembrie</w:t>
      </w:r>
      <w:proofErr w:type="spellEnd"/>
      <w:r w:rsidRPr="00BC44E8">
        <w:rPr>
          <w:rFonts w:eastAsiaTheme="minorHAnsi"/>
          <w:sz w:val="22"/>
          <w:szCs w:val="22"/>
          <w:lang w:val="ro-RO"/>
        </w:rPr>
        <w:t xml:space="preserve"> 2021</w:t>
      </w:r>
    </w:p>
    <w:p w:rsidR="006B5630" w:rsidRDefault="003023CF" w:rsidP="004951D2">
      <w:pPr>
        <w:spacing w:before="120" w:after="120" w:line="276" w:lineRule="auto"/>
        <w:jc w:val="both"/>
        <w:rPr>
          <w:rFonts w:ascii="Times New Roman" w:hAnsi="Times New Roman" w:cs="Times New Roman"/>
        </w:rPr>
      </w:pPr>
      <w:r w:rsidRPr="006B5630">
        <w:rPr>
          <w:rFonts w:ascii="Times New Roman" w:hAnsi="Times New Roman" w:cs="Times New Roman"/>
          <w:b/>
          <w:lang w:val="ro-RO"/>
        </w:rPr>
        <w:t>Identificator</w:t>
      </w:r>
      <w:r w:rsidR="009A7338" w:rsidRPr="006B5630">
        <w:rPr>
          <w:rFonts w:ascii="Times New Roman" w:hAnsi="Times New Roman" w:cs="Times New Roman"/>
          <w:b/>
          <w:lang w:val="ro-RO"/>
        </w:rPr>
        <w:t xml:space="preserve"> ECLI</w:t>
      </w:r>
      <w:r w:rsidR="003A5763" w:rsidRPr="006B5630">
        <w:rPr>
          <w:rFonts w:ascii="Times New Roman" w:hAnsi="Times New Roman" w:cs="Times New Roman"/>
          <w:b/>
          <w:lang w:val="ro-RO"/>
        </w:rPr>
        <w:t>:</w:t>
      </w:r>
      <w:r w:rsidR="0072460F" w:rsidRPr="006B5630">
        <w:rPr>
          <w:rFonts w:ascii="Times New Roman" w:hAnsi="Times New Roman" w:cs="Times New Roman"/>
          <w:b/>
          <w:lang w:val="ro-RO"/>
        </w:rPr>
        <w:t xml:space="preserve"> </w:t>
      </w:r>
      <w:r w:rsidR="00FA3163" w:rsidRPr="00FA3163">
        <w:rPr>
          <w:rFonts w:ascii="Times New Roman" w:hAnsi="Times New Roman" w:cs="Times New Roman"/>
        </w:rPr>
        <w:t>ECLI:EU:C:2021:984</w:t>
      </w:r>
    </w:p>
    <w:p w:rsidR="008A2AE0" w:rsidRDefault="003A5763" w:rsidP="004951D2">
      <w:pPr>
        <w:spacing w:before="120" w:after="120" w:line="276" w:lineRule="auto"/>
        <w:jc w:val="both"/>
        <w:rPr>
          <w:rFonts w:ascii="Times New Roman" w:hAnsi="Times New Roman" w:cs="Times New Roman"/>
          <w:lang w:val="ro-RO"/>
        </w:rPr>
      </w:pPr>
      <w:r w:rsidRPr="008A2AE0">
        <w:rPr>
          <w:rFonts w:ascii="Times New Roman" w:hAnsi="Times New Roman" w:cs="Times New Roman"/>
          <w:b/>
          <w:lang w:val="ro-RO"/>
        </w:rPr>
        <w:t>EUR-Lex</w:t>
      </w:r>
      <w:r w:rsidRPr="008A2AE0">
        <w:rPr>
          <w:rFonts w:ascii="Times New Roman" w:hAnsi="Times New Roman" w:cs="Times New Roman"/>
          <w:lang w:val="ro-RO"/>
        </w:rPr>
        <w:t xml:space="preserve">: </w:t>
      </w:r>
      <w:r w:rsidR="00980897" w:rsidRPr="00980897">
        <w:rPr>
          <w:rFonts w:ascii="Times New Roman" w:hAnsi="Times New Roman" w:cs="Times New Roman"/>
          <w:lang w:val="ro-RO"/>
        </w:rPr>
        <w:t>62021CO0471</w:t>
      </w:r>
    </w:p>
    <w:p w:rsidR="004951D2" w:rsidRPr="00525D91" w:rsidRDefault="004951D2" w:rsidP="004951D2">
      <w:pPr>
        <w:spacing w:before="120" w:after="120" w:line="276" w:lineRule="auto"/>
        <w:jc w:val="both"/>
        <w:rPr>
          <w:rFonts w:ascii="Times New Roman" w:hAnsi="Times New Roman" w:cs="Times New Roman"/>
          <w:lang w:val="ro-RO"/>
        </w:rPr>
      </w:pPr>
      <w:r w:rsidRPr="00525D91">
        <w:rPr>
          <w:rFonts w:ascii="Times New Roman" w:hAnsi="Times New Roman" w:cs="Times New Roman"/>
          <w:b/>
          <w:lang w:val="ro-RO"/>
        </w:rPr>
        <w:t xml:space="preserve">Tip procedură: </w:t>
      </w:r>
      <w:r w:rsidR="001E2AE3" w:rsidRPr="001E2AE3">
        <w:rPr>
          <w:rFonts w:ascii="Times New Roman" w:hAnsi="Times New Roman" w:cs="Times New Roman"/>
          <w:lang w:val="ro-RO"/>
        </w:rPr>
        <w:t>acțiune în anulare, acțiune în despăgubiri, căi de atac, cerere de suspendare a adoptării ori execuției sau aplicarea de măsuri provizorii</w:t>
      </w:r>
    </w:p>
    <w:p w:rsidR="00525D91" w:rsidRDefault="00340CE2" w:rsidP="00B3364A">
      <w:pPr>
        <w:spacing w:before="120" w:after="120" w:line="276" w:lineRule="auto"/>
        <w:jc w:val="both"/>
        <w:rPr>
          <w:rFonts w:ascii="Times New Roman" w:hAnsi="Times New Roman" w:cs="Times New Roman"/>
          <w:lang w:val="ro-RO"/>
        </w:rPr>
      </w:pPr>
      <w:r w:rsidRPr="00525D91">
        <w:rPr>
          <w:rFonts w:ascii="Times New Roman" w:hAnsi="Times New Roman" w:cs="Times New Roman"/>
          <w:b/>
          <w:lang w:val="ro-RO"/>
        </w:rPr>
        <w:t>Materie</w:t>
      </w:r>
      <w:r w:rsidRPr="00525D91">
        <w:rPr>
          <w:rFonts w:ascii="Times New Roman" w:hAnsi="Times New Roman" w:cs="Times New Roman"/>
          <w:lang w:val="ro-RO"/>
        </w:rPr>
        <w:t>:</w:t>
      </w:r>
      <w:r w:rsidRPr="00525D91">
        <w:rPr>
          <w:rFonts w:ascii="Times New Roman" w:hAnsi="Times New Roman" w:cs="Times New Roman"/>
        </w:rPr>
        <w:t xml:space="preserve"> </w:t>
      </w:r>
      <w:r w:rsidR="001E2AE3" w:rsidRPr="001E2AE3">
        <w:rPr>
          <w:rFonts w:ascii="Times New Roman" w:hAnsi="Times New Roman" w:cs="Times New Roman"/>
          <w:lang w:val="ro-RO"/>
        </w:rPr>
        <w:t>achiziții publice ale Uniunii Europene</w:t>
      </w:r>
    </w:p>
    <w:p w:rsidR="00B3364A" w:rsidRPr="004C6DD4" w:rsidRDefault="004951D2" w:rsidP="00B3364A">
      <w:pPr>
        <w:spacing w:before="120" w:after="120" w:line="276" w:lineRule="auto"/>
        <w:jc w:val="both"/>
        <w:rPr>
          <w:rFonts w:ascii="Times New Roman" w:hAnsi="Times New Roman" w:cs="Times New Roman"/>
          <w:lang w:val="ro-RO"/>
        </w:rPr>
      </w:pPr>
      <w:r w:rsidRPr="004C6DD4">
        <w:rPr>
          <w:rFonts w:ascii="Times New Roman" w:hAnsi="Times New Roman" w:cs="Times New Roman"/>
          <w:b/>
          <w:lang w:val="ro-RO"/>
        </w:rPr>
        <w:t>Subiect (cuvinte cheie):</w:t>
      </w:r>
      <w:r w:rsidR="00D15723" w:rsidRPr="004C6DD4">
        <w:rPr>
          <w:rFonts w:ascii="Times New Roman" w:hAnsi="Times New Roman" w:cs="Times New Roman"/>
        </w:rPr>
        <w:t xml:space="preserve"> </w:t>
      </w:r>
      <w:r w:rsidR="006566B9" w:rsidRPr="006566B9">
        <w:rPr>
          <w:rFonts w:ascii="Times New Roman" w:hAnsi="Times New Roman" w:cs="Times New Roman"/>
        </w:rPr>
        <w:t>„</w:t>
      </w:r>
      <w:proofErr w:type="spellStart"/>
      <w:r w:rsidR="006566B9" w:rsidRPr="006566B9">
        <w:rPr>
          <w:rFonts w:ascii="Times New Roman" w:hAnsi="Times New Roman" w:cs="Times New Roman"/>
          <w:lang w:val="ro-RO"/>
        </w:rPr>
        <w:t>cale</w:t>
      </w:r>
      <w:proofErr w:type="spellEnd"/>
      <w:r w:rsidR="006566B9" w:rsidRPr="006566B9">
        <w:rPr>
          <w:rFonts w:ascii="Times New Roman" w:hAnsi="Times New Roman" w:cs="Times New Roman"/>
          <w:lang w:val="ro-RO"/>
        </w:rPr>
        <w:t xml:space="preserve"> de </w:t>
      </w:r>
      <w:proofErr w:type="spellStart"/>
      <w:r w:rsidR="006566B9" w:rsidRPr="006566B9">
        <w:rPr>
          <w:rFonts w:ascii="Times New Roman" w:hAnsi="Times New Roman" w:cs="Times New Roman"/>
          <w:lang w:val="ro-RO"/>
        </w:rPr>
        <w:t>atac</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măsuri</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provizorii</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achiziții</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publice</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procedură</w:t>
      </w:r>
      <w:proofErr w:type="spellEnd"/>
      <w:r w:rsidR="006566B9" w:rsidRPr="006566B9">
        <w:rPr>
          <w:rFonts w:ascii="Times New Roman" w:hAnsi="Times New Roman" w:cs="Times New Roman"/>
          <w:lang w:val="ro-RO"/>
        </w:rPr>
        <w:t xml:space="preserve"> de </w:t>
      </w:r>
      <w:proofErr w:type="spellStart"/>
      <w:r w:rsidR="006566B9" w:rsidRPr="006566B9">
        <w:rPr>
          <w:rFonts w:ascii="Times New Roman" w:hAnsi="Times New Roman" w:cs="Times New Roman"/>
          <w:lang w:val="ro-RO"/>
        </w:rPr>
        <w:t>negociere</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fără</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publicarea</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prealabilă</w:t>
      </w:r>
      <w:proofErr w:type="spellEnd"/>
      <w:r w:rsidR="006566B9" w:rsidRPr="006566B9">
        <w:rPr>
          <w:rFonts w:ascii="Times New Roman" w:hAnsi="Times New Roman" w:cs="Times New Roman"/>
          <w:lang w:val="ro-RO"/>
        </w:rPr>
        <w:t xml:space="preserve"> a </w:t>
      </w:r>
      <w:proofErr w:type="spellStart"/>
      <w:r w:rsidR="006566B9" w:rsidRPr="006566B9">
        <w:rPr>
          <w:rFonts w:ascii="Times New Roman" w:hAnsi="Times New Roman" w:cs="Times New Roman"/>
          <w:lang w:val="ro-RO"/>
        </w:rPr>
        <w:t>unui</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anunț</w:t>
      </w:r>
      <w:proofErr w:type="spellEnd"/>
      <w:r w:rsidR="006566B9" w:rsidRPr="006566B9">
        <w:rPr>
          <w:rFonts w:ascii="Times New Roman" w:hAnsi="Times New Roman" w:cs="Times New Roman"/>
          <w:lang w:val="ro-RO"/>
        </w:rPr>
        <w:t xml:space="preserve"> de </w:t>
      </w:r>
      <w:proofErr w:type="spellStart"/>
      <w:r w:rsidR="006566B9" w:rsidRPr="006566B9">
        <w:rPr>
          <w:rFonts w:ascii="Times New Roman" w:hAnsi="Times New Roman" w:cs="Times New Roman"/>
          <w:lang w:val="ro-RO"/>
        </w:rPr>
        <w:t>participare</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cerere</w:t>
      </w:r>
      <w:proofErr w:type="spellEnd"/>
      <w:r w:rsidR="006566B9" w:rsidRPr="006566B9">
        <w:rPr>
          <w:rFonts w:ascii="Times New Roman" w:hAnsi="Times New Roman" w:cs="Times New Roman"/>
          <w:lang w:val="ro-RO"/>
        </w:rPr>
        <w:t xml:space="preserve"> de </w:t>
      </w:r>
      <w:proofErr w:type="spellStart"/>
      <w:r w:rsidR="006566B9" w:rsidRPr="006566B9">
        <w:rPr>
          <w:rFonts w:ascii="Times New Roman" w:hAnsi="Times New Roman" w:cs="Times New Roman"/>
          <w:lang w:val="ro-RO"/>
        </w:rPr>
        <w:t>suspendare</w:t>
      </w:r>
      <w:proofErr w:type="spellEnd"/>
      <w:r w:rsidR="006566B9" w:rsidRPr="006566B9">
        <w:rPr>
          <w:rFonts w:ascii="Times New Roman" w:hAnsi="Times New Roman" w:cs="Times New Roman"/>
          <w:lang w:val="ro-RO"/>
        </w:rPr>
        <w:t xml:space="preserve"> a </w:t>
      </w:r>
      <w:proofErr w:type="spellStart"/>
      <w:r w:rsidR="006566B9" w:rsidRPr="006566B9">
        <w:rPr>
          <w:rFonts w:ascii="Times New Roman" w:hAnsi="Times New Roman" w:cs="Times New Roman"/>
          <w:lang w:val="ro-RO"/>
        </w:rPr>
        <w:t>executării</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urgență</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prejudiciu</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grav</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și</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ireparabil</w:t>
      </w:r>
      <w:proofErr w:type="spellEnd"/>
      <w:r w:rsidR="006566B9" w:rsidRPr="006566B9">
        <w:rPr>
          <w:rFonts w:ascii="Times New Roman" w:hAnsi="Times New Roman" w:cs="Times New Roman"/>
          <w:lang w:val="ro-RO"/>
        </w:rPr>
        <w:t>”</w:t>
      </w:r>
    </w:p>
    <w:p w:rsidR="00C32F2C" w:rsidRPr="00C32F2C" w:rsidRDefault="00D15723" w:rsidP="00D15723">
      <w:pPr>
        <w:spacing w:before="120" w:after="120" w:line="276" w:lineRule="auto"/>
        <w:jc w:val="both"/>
        <w:rPr>
          <w:rFonts w:ascii="Times New Roman" w:hAnsi="Times New Roman" w:cs="Times New Roman"/>
        </w:rPr>
      </w:pPr>
      <w:r w:rsidRPr="00C32F2C">
        <w:rPr>
          <w:rFonts w:ascii="Times New Roman" w:hAnsi="Times New Roman" w:cs="Times New Roman"/>
          <w:b/>
          <w:lang w:val="ro-RO"/>
        </w:rPr>
        <w:t>Instanţa de trimitere</w:t>
      </w:r>
      <w:r w:rsidRPr="00C32F2C">
        <w:rPr>
          <w:rFonts w:ascii="Times New Roman" w:hAnsi="Times New Roman" w:cs="Times New Roman"/>
          <w:lang w:val="ro-RO"/>
        </w:rPr>
        <w:t>:</w:t>
      </w:r>
      <w:r w:rsidRPr="00C32F2C">
        <w:rPr>
          <w:rFonts w:ascii="Times New Roman" w:hAnsi="Times New Roman" w:cs="Times New Roman"/>
        </w:rPr>
        <w:t xml:space="preserve"> </w:t>
      </w:r>
      <w:r w:rsidR="006566B9">
        <w:rPr>
          <w:rFonts w:ascii="Times New Roman" w:hAnsi="Times New Roman" w:cs="Times New Roman"/>
        </w:rPr>
        <w:t>-</w:t>
      </w:r>
    </w:p>
    <w:p w:rsidR="00D15723" w:rsidRPr="00C32F2C" w:rsidRDefault="00D15723" w:rsidP="00D15723">
      <w:pPr>
        <w:spacing w:before="120" w:after="120" w:line="276" w:lineRule="auto"/>
        <w:jc w:val="both"/>
        <w:rPr>
          <w:rFonts w:ascii="Times New Roman" w:hAnsi="Times New Roman" w:cs="Times New Roman"/>
          <w:lang w:val="ro-RO"/>
        </w:rPr>
      </w:pPr>
      <w:r w:rsidRPr="00C32F2C">
        <w:rPr>
          <w:rFonts w:ascii="Times New Roman" w:hAnsi="Times New Roman" w:cs="Times New Roman"/>
          <w:b/>
          <w:lang w:val="ro-RO"/>
        </w:rPr>
        <w:t>Părţi în procedura principală</w:t>
      </w:r>
      <w:r w:rsidRPr="00C32F2C">
        <w:rPr>
          <w:rFonts w:ascii="Times New Roman" w:hAnsi="Times New Roman" w:cs="Times New Roman"/>
          <w:lang w:val="ro-RO"/>
        </w:rPr>
        <w:t>:</w:t>
      </w:r>
    </w:p>
    <w:p w:rsidR="006566B9" w:rsidRDefault="006566B9" w:rsidP="00C32F2C">
      <w:pPr>
        <w:spacing w:before="120" w:after="120" w:line="276" w:lineRule="auto"/>
        <w:jc w:val="both"/>
        <w:rPr>
          <w:rFonts w:ascii="Times New Roman" w:hAnsi="Times New Roman" w:cs="Times New Roman"/>
          <w:lang w:val="ro-RO"/>
        </w:rPr>
      </w:pPr>
      <w:r>
        <w:rPr>
          <w:rFonts w:ascii="Times New Roman" w:hAnsi="Times New Roman" w:cs="Times New Roman"/>
          <w:lang w:val="ro-RO"/>
        </w:rPr>
        <w:t>Recurente</w:t>
      </w:r>
      <w:r w:rsidR="00C32F2C" w:rsidRPr="00C32F2C">
        <w:rPr>
          <w:rFonts w:ascii="Times New Roman" w:hAnsi="Times New Roman" w:cs="Times New Roman"/>
          <w:lang w:val="ro-RO"/>
        </w:rPr>
        <w:t xml:space="preserve">: </w:t>
      </w:r>
      <w:r w:rsidRPr="006566B9">
        <w:rPr>
          <w:rFonts w:ascii="Times New Roman" w:hAnsi="Times New Roman" w:cs="Times New Roman"/>
          <w:lang w:val="ro-RO"/>
        </w:rPr>
        <w:t>Inivos Ltd, cu sediul în Londra</w:t>
      </w:r>
      <w:r>
        <w:rPr>
          <w:rFonts w:ascii="Times New Roman" w:hAnsi="Times New Roman" w:cs="Times New Roman"/>
          <w:lang w:val="ro-RO"/>
        </w:rPr>
        <w:t xml:space="preserve">, </w:t>
      </w:r>
      <w:r w:rsidRPr="006566B9">
        <w:rPr>
          <w:rFonts w:ascii="Times New Roman" w:hAnsi="Times New Roman" w:cs="Times New Roman"/>
          <w:lang w:val="ro-RO"/>
        </w:rPr>
        <w:t>Inivos BV, cu sediul în Rotterdam</w:t>
      </w:r>
    </w:p>
    <w:p w:rsidR="00C32F2C" w:rsidRDefault="006566B9" w:rsidP="00C32F2C">
      <w:pPr>
        <w:spacing w:before="120" w:after="120" w:line="276" w:lineRule="auto"/>
        <w:jc w:val="both"/>
        <w:rPr>
          <w:rFonts w:ascii="Times New Roman" w:hAnsi="Times New Roman" w:cs="Times New Roman"/>
          <w:lang w:val="ro-RO"/>
        </w:rPr>
      </w:pPr>
      <w:r>
        <w:rPr>
          <w:rFonts w:ascii="Times New Roman" w:hAnsi="Times New Roman" w:cs="Times New Roman"/>
          <w:lang w:val="ro-RO"/>
        </w:rPr>
        <w:t>Intimată</w:t>
      </w:r>
      <w:r w:rsidR="00C32F2C" w:rsidRPr="00C32F2C">
        <w:rPr>
          <w:rFonts w:ascii="Times New Roman" w:hAnsi="Times New Roman" w:cs="Times New Roman"/>
          <w:lang w:val="ro-RO"/>
        </w:rPr>
        <w:t xml:space="preserve">: </w:t>
      </w:r>
      <w:r w:rsidRPr="006566B9">
        <w:rPr>
          <w:rFonts w:ascii="Times New Roman" w:hAnsi="Times New Roman" w:cs="Times New Roman"/>
          <w:lang w:val="ro-RO"/>
        </w:rPr>
        <w:t>Comisia Europeană</w:t>
      </w:r>
    </w:p>
    <w:p w:rsidR="006566B9" w:rsidRDefault="00F85D12" w:rsidP="00C32F2C">
      <w:pPr>
        <w:spacing w:before="120" w:after="120" w:line="276" w:lineRule="auto"/>
        <w:jc w:val="both"/>
      </w:pPr>
      <w:r w:rsidRPr="004C6DD4">
        <w:rPr>
          <w:rFonts w:ascii="Times New Roman" w:hAnsi="Times New Roman" w:cs="Times New Roman"/>
          <w:b/>
          <w:lang w:val="ro-RO"/>
        </w:rPr>
        <w:t>Obiectul cauzei:</w:t>
      </w:r>
      <w:r w:rsidR="007E76D9" w:rsidRPr="004C6DD4">
        <w:t xml:space="preserve"> </w:t>
      </w:r>
      <w:proofErr w:type="spellStart"/>
      <w:r w:rsidR="006566B9" w:rsidRPr="006566B9">
        <w:rPr>
          <w:rFonts w:ascii="Times New Roman" w:hAnsi="Times New Roman" w:cs="Times New Roman"/>
          <w:lang w:val="ro-RO"/>
        </w:rPr>
        <w:t>Recurentele</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solicită</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anularea</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Ordonanței</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președintelui</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Tribunalului</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Uniunii</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Europene</w:t>
      </w:r>
      <w:proofErr w:type="spellEnd"/>
      <w:r w:rsidR="006566B9" w:rsidRPr="006566B9">
        <w:rPr>
          <w:rFonts w:ascii="Times New Roman" w:hAnsi="Times New Roman" w:cs="Times New Roman"/>
          <w:lang w:val="ro-RO"/>
        </w:rPr>
        <w:t xml:space="preserve"> din 21 </w:t>
      </w:r>
      <w:proofErr w:type="spellStart"/>
      <w:r w:rsidR="006566B9" w:rsidRPr="006566B9">
        <w:rPr>
          <w:rFonts w:ascii="Times New Roman" w:hAnsi="Times New Roman" w:cs="Times New Roman"/>
          <w:lang w:val="ro-RO"/>
        </w:rPr>
        <w:t>mai</w:t>
      </w:r>
      <w:proofErr w:type="spellEnd"/>
      <w:r w:rsidR="006566B9" w:rsidRPr="006566B9">
        <w:rPr>
          <w:rFonts w:ascii="Times New Roman" w:hAnsi="Times New Roman" w:cs="Times New Roman"/>
          <w:lang w:val="ro-RO"/>
        </w:rPr>
        <w:t xml:space="preserve"> 2021, </w:t>
      </w:r>
      <w:proofErr w:type="spellStart"/>
      <w:r w:rsidR="006566B9" w:rsidRPr="006566B9">
        <w:rPr>
          <w:rFonts w:ascii="Times New Roman" w:hAnsi="Times New Roman" w:cs="Times New Roman"/>
          <w:lang w:val="ro-RO"/>
        </w:rPr>
        <w:t>Inivos</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și</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Inivos</w:t>
      </w:r>
      <w:proofErr w:type="spellEnd"/>
      <w:r w:rsidR="006566B9" w:rsidRPr="006566B9">
        <w:rPr>
          <w:rFonts w:ascii="Times New Roman" w:hAnsi="Times New Roman" w:cs="Times New Roman"/>
          <w:lang w:val="ro-RO"/>
        </w:rPr>
        <w:t xml:space="preserve"> / </w:t>
      </w:r>
      <w:proofErr w:type="spellStart"/>
      <w:r w:rsidR="006566B9" w:rsidRPr="006566B9">
        <w:rPr>
          <w:rFonts w:ascii="Times New Roman" w:hAnsi="Times New Roman" w:cs="Times New Roman"/>
          <w:lang w:val="ro-RO"/>
        </w:rPr>
        <w:t>Comisia</w:t>
      </w:r>
      <w:proofErr w:type="spellEnd"/>
      <w:r w:rsidR="006566B9" w:rsidRPr="006566B9">
        <w:rPr>
          <w:rFonts w:ascii="Times New Roman" w:hAnsi="Times New Roman" w:cs="Times New Roman"/>
          <w:lang w:val="ro-RO"/>
        </w:rPr>
        <w:t xml:space="preserve"> (T‑38/21 R, EU:T:2021:287), </w:t>
      </w:r>
      <w:proofErr w:type="spellStart"/>
      <w:r w:rsidR="006566B9" w:rsidRPr="006566B9">
        <w:rPr>
          <w:rFonts w:ascii="Times New Roman" w:hAnsi="Times New Roman" w:cs="Times New Roman"/>
          <w:lang w:val="ro-RO"/>
        </w:rPr>
        <w:t>prin</w:t>
      </w:r>
      <w:proofErr w:type="spellEnd"/>
      <w:r w:rsidR="006566B9" w:rsidRPr="006566B9">
        <w:rPr>
          <w:rFonts w:ascii="Times New Roman" w:hAnsi="Times New Roman" w:cs="Times New Roman"/>
          <w:lang w:val="ro-RO"/>
        </w:rPr>
        <w:t xml:space="preserve"> care a </w:t>
      </w:r>
      <w:proofErr w:type="spellStart"/>
      <w:r w:rsidR="006566B9" w:rsidRPr="006566B9">
        <w:rPr>
          <w:rFonts w:ascii="Times New Roman" w:hAnsi="Times New Roman" w:cs="Times New Roman"/>
          <w:lang w:val="ro-RO"/>
        </w:rPr>
        <w:t>respins</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cererea</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acestora</w:t>
      </w:r>
      <w:proofErr w:type="spellEnd"/>
      <w:r w:rsidR="006566B9" w:rsidRPr="006566B9">
        <w:rPr>
          <w:rFonts w:ascii="Times New Roman" w:hAnsi="Times New Roman" w:cs="Times New Roman"/>
          <w:lang w:val="ro-RO"/>
        </w:rPr>
        <w:t xml:space="preserve"> de </w:t>
      </w:r>
      <w:proofErr w:type="spellStart"/>
      <w:r w:rsidR="006566B9" w:rsidRPr="006566B9">
        <w:rPr>
          <w:rFonts w:ascii="Times New Roman" w:hAnsi="Times New Roman" w:cs="Times New Roman"/>
          <w:lang w:val="ro-RO"/>
        </w:rPr>
        <w:t>suspendare</w:t>
      </w:r>
      <w:proofErr w:type="spellEnd"/>
      <w:r w:rsidR="006566B9" w:rsidRPr="006566B9">
        <w:rPr>
          <w:rFonts w:ascii="Times New Roman" w:hAnsi="Times New Roman" w:cs="Times New Roman"/>
          <w:lang w:val="ro-RO"/>
        </w:rPr>
        <w:t xml:space="preserve"> a </w:t>
      </w:r>
      <w:proofErr w:type="spellStart"/>
      <w:r w:rsidR="006566B9" w:rsidRPr="006566B9">
        <w:rPr>
          <w:rFonts w:ascii="Times New Roman" w:hAnsi="Times New Roman" w:cs="Times New Roman"/>
          <w:lang w:val="ro-RO"/>
        </w:rPr>
        <w:t>executării</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Contractelor-cadru</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pentru</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roboți</w:t>
      </w:r>
      <w:proofErr w:type="spellEnd"/>
      <w:r w:rsidR="006566B9" w:rsidRPr="006566B9">
        <w:rPr>
          <w:rFonts w:ascii="Times New Roman" w:hAnsi="Times New Roman" w:cs="Times New Roman"/>
          <w:lang w:val="ro-RO"/>
        </w:rPr>
        <w:t xml:space="preserve"> de </w:t>
      </w:r>
      <w:proofErr w:type="spellStart"/>
      <w:r w:rsidR="006566B9" w:rsidRPr="006566B9">
        <w:rPr>
          <w:rFonts w:ascii="Times New Roman" w:hAnsi="Times New Roman" w:cs="Times New Roman"/>
          <w:lang w:val="ro-RO"/>
        </w:rPr>
        <w:t>dezinfecție</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pentru</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spitale</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europene</w:t>
      </w:r>
      <w:proofErr w:type="spellEnd"/>
      <w:r w:rsidR="006566B9" w:rsidRPr="006566B9">
        <w:rPr>
          <w:rFonts w:ascii="Times New Roman" w:hAnsi="Times New Roman" w:cs="Times New Roman"/>
          <w:lang w:val="ro-RO"/>
        </w:rPr>
        <w:t xml:space="preserve"> (COVID-19)” FW-00103506 </w:t>
      </w:r>
      <w:proofErr w:type="spellStart"/>
      <w:r w:rsidR="006566B9" w:rsidRPr="006566B9">
        <w:rPr>
          <w:rFonts w:ascii="Times New Roman" w:hAnsi="Times New Roman" w:cs="Times New Roman"/>
          <w:lang w:val="ro-RO"/>
        </w:rPr>
        <w:t>și</w:t>
      </w:r>
      <w:proofErr w:type="spellEnd"/>
      <w:r w:rsidR="006566B9" w:rsidRPr="006566B9">
        <w:rPr>
          <w:rFonts w:ascii="Times New Roman" w:hAnsi="Times New Roman" w:cs="Times New Roman"/>
          <w:lang w:val="ro-RO"/>
        </w:rPr>
        <w:t xml:space="preserve"> FW- 00103507 </w:t>
      </w:r>
      <w:proofErr w:type="spellStart"/>
      <w:r w:rsidR="006566B9" w:rsidRPr="006566B9">
        <w:rPr>
          <w:rFonts w:ascii="Times New Roman" w:hAnsi="Times New Roman" w:cs="Times New Roman"/>
          <w:lang w:val="ro-RO"/>
        </w:rPr>
        <w:t>încheiate</w:t>
      </w:r>
      <w:proofErr w:type="spellEnd"/>
      <w:r w:rsidR="006566B9" w:rsidRPr="006566B9">
        <w:rPr>
          <w:rFonts w:ascii="Times New Roman" w:hAnsi="Times New Roman" w:cs="Times New Roman"/>
          <w:lang w:val="ro-RO"/>
        </w:rPr>
        <w:t xml:space="preserve"> de </w:t>
      </w:r>
      <w:proofErr w:type="spellStart"/>
      <w:r w:rsidR="006566B9" w:rsidRPr="006566B9">
        <w:rPr>
          <w:rFonts w:ascii="Times New Roman" w:hAnsi="Times New Roman" w:cs="Times New Roman"/>
          <w:lang w:val="ro-RO"/>
        </w:rPr>
        <w:t>Comisia</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Europeană</w:t>
      </w:r>
      <w:proofErr w:type="spellEnd"/>
      <w:r w:rsidR="006566B9" w:rsidRPr="006566B9">
        <w:rPr>
          <w:rFonts w:ascii="Times New Roman" w:hAnsi="Times New Roman" w:cs="Times New Roman"/>
          <w:lang w:val="ro-RO"/>
        </w:rPr>
        <w:t xml:space="preserve"> la 19 </w:t>
      </w:r>
      <w:proofErr w:type="spellStart"/>
      <w:r w:rsidR="006566B9" w:rsidRPr="006566B9">
        <w:rPr>
          <w:rFonts w:ascii="Times New Roman" w:hAnsi="Times New Roman" w:cs="Times New Roman"/>
          <w:lang w:val="ro-RO"/>
        </w:rPr>
        <w:t>noiembrie</w:t>
      </w:r>
      <w:proofErr w:type="spellEnd"/>
      <w:r w:rsidR="006566B9" w:rsidRPr="006566B9">
        <w:rPr>
          <w:rFonts w:ascii="Times New Roman" w:hAnsi="Times New Roman" w:cs="Times New Roman"/>
          <w:lang w:val="ro-RO"/>
        </w:rPr>
        <w:t xml:space="preserve"> 2020 cu </w:t>
      </w:r>
      <w:proofErr w:type="spellStart"/>
      <w:r w:rsidR="006566B9" w:rsidRPr="006566B9">
        <w:rPr>
          <w:rFonts w:ascii="Times New Roman" w:hAnsi="Times New Roman" w:cs="Times New Roman"/>
          <w:lang w:val="ro-RO"/>
        </w:rPr>
        <w:t>doi</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ofertanți</w:t>
      </w:r>
      <w:proofErr w:type="spellEnd"/>
      <w:r w:rsidR="006566B9" w:rsidRPr="006566B9">
        <w:rPr>
          <w:rFonts w:ascii="Times New Roman" w:hAnsi="Times New Roman" w:cs="Times New Roman"/>
          <w:lang w:val="ro-RO"/>
        </w:rPr>
        <w:t xml:space="preserve"> ca </w:t>
      </w:r>
      <w:proofErr w:type="spellStart"/>
      <w:r w:rsidR="006566B9" w:rsidRPr="006566B9">
        <w:rPr>
          <w:rFonts w:ascii="Times New Roman" w:hAnsi="Times New Roman" w:cs="Times New Roman"/>
          <w:lang w:val="ro-RO"/>
        </w:rPr>
        <w:t>urmare</w:t>
      </w:r>
      <w:proofErr w:type="spellEnd"/>
      <w:r w:rsidR="006566B9" w:rsidRPr="006566B9">
        <w:rPr>
          <w:rFonts w:ascii="Times New Roman" w:hAnsi="Times New Roman" w:cs="Times New Roman"/>
          <w:lang w:val="ro-RO"/>
        </w:rPr>
        <w:t xml:space="preserve"> a </w:t>
      </w:r>
      <w:proofErr w:type="spellStart"/>
      <w:r w:rsidR="006566B9" w:rsidRPr="006566B9">
        <w:rPr>
          <w:rFonts w:ascii="Times New Roman" w:hAnsi="Times New Roman" w:cs="Times New Roman"/>
          <w:lang w:val="ro-RO"/>
        </w:rPr>
        <w:t>unei</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proceduri</w:t>
      </w:r>
      <w:proofErr w:type="spellEnd"/>
      <w:r w:rsidR="006566B9" w:rsidRPr="006566B9">
        <w:rPr>
          <w:rFonts w:ascii="Times New Roman" w:hAnsi="Times New Roman" w:cs="Times New Roman"/>
          <w:lang w:val="ro-RO"/>
        </w:rPr>
        <w:t xml:space="preserve"> de </w:t>
      </w:r>
      <w:proofErr w:type="spellStart"/>
      <w:r w:rsidR="006566B9" w:rsidRPr="006566B9">
        <w:rPr>
          <w:rFonts w:ascii="Times New Roman" w:hAnsi="Times New Roman" w:cs="Times New Roman"/>
          <w:lang w:val="ro-RO"/>
        </w:rPr>
        <w:t>negociere</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fără</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publicarea</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prealabilă</w:t>
      </w:r>
      <w:proofErr w:type="spellEnd"/>
      <w:r w:rsidR="006566B9" w:rsidRPr="006566B9">
        <w:rPr>
          <w:rFonts w:ascii="Times New Roman" w:hAnsi="Times New Roman" w:cs="Times New Roman"/>
          <w:lang w:val="ro-RO"/>
        </w:rPr>
        <w:t xml:space="preserve"> a </w:t>
      </w:r>
      <w:proofErr w:type="spellStart"/>
      <w:r w:rsidR="006566B9" w:rsidRPr="006566B9">
        <w:rPr>
          <w:rFonts w:ascii="Times New Roman" w:hAnsi="Times New Roman" w:cs="Times New Roman"/>
          <w:lang w:val="ro-RO"/>
        </w:rPr>
        <w:t>unui</w:t>
      </w:r>
      <w:proofErr w:type="spellEnd"/>
      <w:r w:rsidR="006566B9" w:rsidRPr="006566B9">
        <w:rPr>
          <w:rFonts w:ascii="Times New Roman" w:hAnsi="Times New Roman" w:cs="Times New Roman"/>
          <w:lang w:val="ro-RO"/>
        </w:rPr>
        <w:t xml:space="preserve"> </w:t>
      </w:r>
      <w:proofErr w:type="spellStart"/>
      <w:r w:rsidR="006566B9" w:rsidRPr="006566B9">
        <w:rPr>
          <w:rFonts w:ascii="Times New Roman" w:hAnsi="Times New Roman" w:cs="Times New Roman"/>
          <w:lang w:val="ro-RO"/>
        </w:rPr>
        <w:t>anunț</w:t>
      </w:r>
      <w:proofErr w:type="spellEnd"/>
      <w:r w:rsidR="006566B9" w:rsidRPr="006566B9">
        <w:rPr>
          <w:rFonts w:ascii="Times New Roman" w:hAnsi="Times New Roman" w:cs="Times New Roman"/>
          <w:lang w:val="ro-RO"/>
        </w:rPr>
        <w:t xml:space="preserve"> de </w:t>
      </w:r>
      <w:proofErr w:type="spellStart"/>
      <w:r w:rsidR="006566B9" w:rsidRPr="006566B9">
        <w:rPr>
          <w:rFonts w:ascii="Times New Roman" w:hAnsi="Times New Roman" w:cs="Times New Roman"/>
          <w:lang w:val="ro-RO"/>
        </w:rPr>
        <w:t>participare</w:t>
      </w:r>
      <w:proofErr w:type="spellEnd"/>
      <w:r w:rsidR="006566B9" w:rsidRPr="006566B9">
        <w:rPr>
          <w:rFonts w:ascii="Times New Roman" w:hAnsi="Times New Roman" w:cs="Times New Roman"/>
          <w:lang w:val="ro-RO"/>
        </w:rPr>
        <w:t>.</w:t>
      </w:r>
    </w:p>
    <w:p w:rsidR="00666313" w:rsidRPr="007E76D9" w:rsidRDefault="00666313" w:rsidP="00C345E5">
      <w:pPr>
        <w:spacing w:before="120" w:after="120" w:line="276" w:lineRule="auto"/>
        <w:jc w:val="both"/>
        <w:rPr>
          <w:rFonts w:ascii="Times New Roman" w:hAnsi="Times New Roman" w:cs="Times New Roman"/>
          <w:lang w:val="ro-RO"/>
        </w:rPr>
      </w:pPr>
      <w:r w:rsidRPr="006A2373">
        <w:rPr>
          <w:rFonts w:ascii="Times New Roman" w:hAnsi="Times New Roman" w:cs="Times New Roman"/>
          <w:b/>
          <w:lang w:val="ro-RO"/>
        </w:rPr>
        <w:t>Cadrul juridic</w:t>
      </w:r>
      <w:r w:rsidRPr="006A2373">
        <w:rPr>
          <w:rFonts w:ascii="Times New Roman" w:hAnsi="Times New Roman" w:cs="Times New Roman"/>
          <w:lang w:val="ro-RO"/>
        </w:rPr>
        <w:t>:</w:t>
      </w:r>
      <w:r w:rsidRPr="006A2373">
        <w:t xml:space="preserve"> </w:t>
      </w:r>
      <w:r w:rsidR="002F5B5C" w:rsidRPr="002F5B5C">
        <w:rPr>
          <w:rFonts w:ascii="Times New Roman" w:hAnsi="Times New Roman" w:cs="Times New Roman"/>
          <w:lang w:val="ro-RO"/>
        </w:rPr>
        <w:t>art. 2 alin. (7), art. 2a alin. (2), art. 2b lit. (a), art. 2d alin. (1) lit. (a) din Directiva 89/665/CEE, art. 32 alin. (2) lit. (c) din Directiva 2014/24/UE, art. 175 alin. (2) și (3) si anexa I la Regulamentul (UE, Euratom) nr. 2018/1046, Regulamentul de procedură</w:t>
      </w:r>
    </w:p>
    <w:p w:rsidR="009221B7" w:rsidRDefault="009221B7" w:rsidP="009221B7">
      <w:pPr>
        <w:spacing w:before="120" w:after="120" w:line="276" w:lineRule="auto"/>
        <w:jc w:val="both"/>
        <w:rPr>
          <w:rFonts w:ascii="Times New Roman" w:hAnsi="Times New Roman" w:cs="Times New Roman"/>
          <w:b/>
          <w:lang w:val="ro-RO"/>
        </w:rPr>
      </w:pPr>
      <w:r>
        <w:rPr>
          <w:rFonts w:ascii="Times New Roman" w:hAnsi="Times New Roman" w:cs="Times New Roman"/>
          <w:b/>
          <w:lang w:val="ro-RO"/>
        </w:rPr>
        <w:t>Întrebare</w:t>
      </w:r>
      <w:r w:rsidRPr="009221B7">
        <w:rPr>
          <w:rFonts w:ascii="Times New Roman" w:hAnsi="Times New Roman" w:cs="Times New Roman"/>
          <w:b/>
          <w:lang w:val="ro-RO"/>
        </w:rPr>
        <w:t xml:space="preserve"> preliminară</w:t>
      </w:r>
      <w:r>
        <w:rPr>
          <w:rFonts w:ascii="Times New Roman" w:hAnsi="Times New Roman" w:cs="Times New Roman"/>
          <w:b/>
          <w:lang w:val="ro-RO"/>
        </w:rPr>
        <w:t xml:space="preserve">: </w:t>
      </w:r>
      <w:r w:rsidR="002F5B5C">
        <w:rPr>
          <w:rFonts w:ascii="Times New Roman" w:hAnsi="Times New Roman" w:cs="Times New Roman"/>
          <w:b/>
          <w:lang w:val="ro-RO"/>
        </w:rPr>
        <w:t>-</w:t>
      </w:r>
    </w:p>
    <w:p w:rsidR="002F5B5C" w:rsidRDefault="002F5B5C" w:rsidP="009221B7">
      <w:pPr>
        <w:spacing w:before="120" w:after="120" w:line="276" w:lineRule="auto"/>
        <w:jc w:val="both"/>
        <w:rPr>
          <w:rFonts w:ascii="Times New Roman" w:hAnsi="Times New Roman" w:cs="Times New Roman"/>
          <w:b/>
          <w:lang w:val="ro-RO"/>
        </w:rPr>
      </w:pPr>
      <w:r>
        <w:rPr>
          <w:rFonts w:ascii="Times New Roman" w:hAnsi="Times New Roman" w:cs="Times New Roman"/>
          <w:b/>
          <w:lang w:val="ro-RO"/>
        </w:rPr>
        <w:t>Motive invocate:</w:t>
      </w:r>
    </w:p>
    <w:p w:rsidR="002F5B5C" w:rsidRPr="00CC6DB0" w:rsidRDefault="00CC6DB0" w:rsidP="009221B7">
      <w:pPr>
        <w:spacing w:before="120" w:after="120" w:line="276" w:lineRule="auto"/>
        <w:jc w:val="both"/>
        <w:rPr>
          <w:rFonts w:ascii="Times New Roman" w:hAnsi="Times New Roman" w:cs="Times New Roman"/>
          <w:lang w:val="ro-RO"/>
        </w:rPr>
      </w:pPr>
      <w:r w:rsidRPr="00CC6DB0">
        <w:rPr>
          <w:rFonts w:ascii="Times New Roman" w:hAnsi="Times New Roman" w:cs="Times New Roman"/>
          <w:lang w:val="ro-RO"/>
        </w:rPr>
        <w:t>În susținerea recursului formulat, recurentele invocă două motive, care sunt întemeiate, primul, pe examinarea necorespunzătoare a răspunsurilor date de Comisie ca urmare a unei măsuri de organizare a procedurii</w:t>
      </w:r>
      <w:r w:rsidR="00863AA4">
        <w:rPr>
          <w:rFonts w:ascii="Times New Roman" w:hAnsi="Times New Roman" w:cs="Times New Roman"/>
          <w:lang w:val="ro-RO"/>
        </w:rPr>
        <w:t xml:space="preserve"> </w:t>
      </w:r>
      <w:r w:rsidR="00863AA4" w:rsidRPr="00863AA4">
        <w:rPr>
          <w:rFonts w:ascii="Times New Roman" w:hAnsi="Times New Roman" w:cs="Times New Roman"/>
          <w:lang w:val="ro-RO"/>
        </w:rPr>
        <w:t>referitoare la eventuala existe</w:t>
      </w:r>
      <w:r w:rsidR="00863AA4">
        <w:rPr>
          <w:rFonts w:ascii="Times New Roman" w:hAnsi="Times New Roman" w:cs="Times New Roman"/>
          <w:lang w:val="ro-RO"/>
        </w:rPr>
        <w:t>nță a unui conflict de interese</w:t>
      </w:r>
      <w:r w:rsidRPr="00CC6DB0">
        <w:rPr>
          <w:rFonts w:ascii="Times New Roman" w:hAnsi="Times New Roman" w:cs="Times New Roman"/>
          <w:lang w:val="ro-RO"/>
        </w:rPr>
        <w:t>, iar al doilea, pe examinarea necorespunzătoare a condiției privind urgența.</w:t>
      </w:r>
    </w:p>
    <w:p w:rsidR="002F5B5C" w:rsidRDefault="002F5B5C" w:rsidP="009221B7">
      <w:pPr>
        <w:spacing w:before="120" w:after="120" w:line="276" w:lineRule="auto"/>
        <w:jc w:val="both"/>
        <w:rPr>
          <w:rFonts w:ascii="Times New Roman" w:hAnsi="Times New Roman" w:cs="Times New Roman"/>
          <w:lang w:val="ro-RO"/>
        </w:rPr>
      </w:pPr>
      <w:r>
        <w:rPr>
          <w:rFonts w:ascii="Times New Roman" w:hAnsi="Times New Roman" w:cs="Times New Roman"/>
          <w:b/>
          <w:lang w:val="ro-RO"/>
        </w:rPr>
        <w:t xml:space="preserve">Soluție: </w:t>
      </w:r>
      <w:r w:rsidRPr="00205AD3">
        <w:rPr>
          <w:rFonts w:ascii="Times New Roman" w:hAnsi="Times New Roman" w:cs="Times New Roman"/>
          <w:b/>
          <w:lang w:val="ro-RO"/>
        </w:rPr>
        <w:t>Instanța apreciază ca nefondate motivele invocate și respinge acțiunea reclamantelor în întregime</w:t>
      </w:r>
    </w:p>
    <w:p w:rsidR="00863AA4" w:rsidRDefault="00863AA4" w:rsidP="009221B7">
      <w:pPr>
        <w:spacing w:before="120" w:after="120" w:line="276" w:lineRule="auto"/>
        <w:jc w:val="both"/>
        <w:rPr>
          <w:rFonts w:ascii="Times New Roman" w:hAnsi="Times New Roman" w:cs="Times New Roman"/>
          <w:lang w:val="ro-RO"/>
        </w:rPr>
      </w:pPr>
      <w:r>
        <w:rPr>
          <w:rFonts w:ascii="Times New Roman" w:hAnsi="Times New Roman" w:cs="Times New Roman"/>
          <w:lang w:val="ro-RO"/>
        </w:rPr>
        <w:t xml:space="preserve">Extras argumentație: </w:t>
      </w:r>
    </w:p>
    <w:p w:rsidR="00BB2836" w:rsidRDefault="00A844E6" w:rsidP="009221B7">
      <w:pPr>
        <w:spacing w:before="120" w:after="120" w:line="276" w:lineRule="auto"/>
        <w:jc w:val="both"/>
        <w:rPr>
          <w:rFonts w:ascii="Times New Roman" w:hAnsi="Times New Roman" w:cs="Times New Roman"/>
          <w:lang w:val="ro-RO"/>
        </w:rPr>
      </w:pPr>
      <w:r>
        <w:rPr>
          <w:rFonts w:ascii="Times New Roman" w:hAnsi="Times New Roman" w:cs="Times New Roman"/>
          <w:i/>
          <w:lang w:val="ro-RO"/>
        </w:rPr>
        <w:t>„</w:t>
      </w:r>
      <w:r w:rsidR="00BB2836" w:rsidRPr="00BB2836">
        <w:rPr>
          <w:rFonts w:ascii="Times New Roman" w:hAnsi="Times New Roman" w:cs="Times New Roman"/>
          <w:i/>
          <w:lang w:val="ro-RO"/>
        </w:rPr>
        <w:t>Prin intermediul primului motiv, recurentele susțin că președintele Tribunalului a săvârșit o eroare de drept prin faptul că nu a apreciat și nu a examinat în mod adecvat, la punctele 39 și 40 din ordonanța atacată, răspunsurile date de Comisie ca urmare a adoptării unei măsuri de organizare a procedurii referitoare la eventuala existență a unui conflict de interese</w:t>
      </w:r>
      <w:r w:rsidR="00BB2836" w:rsidRPr="00BB2836">
        <w:rPr>
          <w:rFonts w:ascii="Times New Roman" w:hAnsi="Times New Roman" w:cs="Times New Roman"/>
          <w:lang w:val="ro-RO"/>
        </w:rPr>
        <w:t>.</w:t>
      </w:r>
      <w:r>
        <w:rPr>
          <w:rFonts w:ascii="Times New Roman" w:hAnsi="Times New Roman" w:cs="Times New Roman"/>
          <w:lang w:val="ro-RO"/>
        </w:rPr>
        <w:t>”</w:t>
      </w:r>
      <w:r w:rsidR="00BB2836">
        <w:rPr>
          <w:rFonts w:ascii="Times New Roman" w:hAnsi="Times New Roman" w:cs="Times New Roman"/>
          <w:lang w:val="ro-RO"/>
        </w:rPr>
        <w:t xml:space="preserve"> (pct.32)</w:t>
      </w:r>
    </w:p>
    <w:p w:rsidR="00BB2836" w:rsidRDefault="00A844E6" w:rsidP="009221B7">
      <w:pPr>
        <w:spacing w:before="120" w:after="120" w:line="276" w:lineRule="auto"/>
        <w:jc w:val="both"/>
        <w:rPr>
          <w:rFonts w:ascii="Times New Roman" w:hAnsi="Times New Roman" w:cs="Times New Roman"/>
          <w:lang w:val="ro-RO"/>
        </w:rPr>
      </w:pPr>
      <w:r>
        <w:rPr>
          <w:rFonts w:ascii="Times New Roman" w:hAnsi="Times New Roman" w:cs="Times New Roman"/>
          <w:lang w:val="ro-RO"/>
        </w:rPr>
        <w:t>„</w:t>
      </w:r>
      <w:r w:rsidRPr="00A844E6">
        <w:rPr>
          <w:rFonts w:ascii="Times New Roman" w:hAnsi="Times New Roman" w:cs="Times New Roman"/>
          <w:i/>
          <w:lang w:val="ro-RO"/>
        </w:rPr>
        <w:t>Tribunalul este singurul competent să constate și să aprecieze faptele relevante, precum și elementele de probă care îi sunt prezentate. Aprecierea acestor fapte și a acestor elemente de probă nu constituie, așadar, cu excepția cazului denaturării lor, o chestiune de drept supusă ca atare controlului Curții în cadrul unui recurs</w:t>
      </w:r>
      <w:r>
        <w:rPr>
          <w:rFonts w:ascii="Times New Roman" w:hAnsi="Times New Roman" w:cs="Times New Roman"/>
          <w:i/>
          <w:lang w:val="ro-RO"/>
        </w:rPr>
        <w:t xml:space="preserve">” </w:t>
      </w:r>
      <w:r w:rsidRPr="00A844E6">
        <w:rPr>
          <w:rFonts w:ascii="Times New Roman" w:hAnsi="Times New Roman" w:cs="Times New Roman"/>
          <w:lang w:val="ro-RO"/>
        </w:rPr>
        <w:t xml:space="preserve">(pct. 39) </w:t>
      </w:r>
    </w:p>
    <w:p w:rsidR="00A844E6" w:rsidRDefault="00A844E6" w:rsidP="009221B7">
      <w:pPr>
        <w:spacing w:before="120" w:after="120" w:line="276" w:lineRule="auto"/>
        <w:jc w:val="both"/>
        <w:rPr>
          <w:rFonts w:ascii="Times New Roman" w:hAnsi="Times New Roman" w:cs="Times New Roman"/>
          <w:lang w:val="ro-RO"/>
        </w:rPr>
      </w:pPr>
    </w:p>
    <w:p w:rsidR="00A844E6" w:rsidRDefault="00A844E6" w:rsidP="009221B7">
      <w:pPr>
        <w:spacing w:before="120" w:after="120" w:line="276" w:lineRule="auto"/>
        <w:jc w:val="both"/>
        <w:rPr>
          <w:rFonts w:ascii="Times New Roman" w:hAnsi="Times New Roman" w:cs="Times New Roman"/>
          <w:lang w:val="ro-RO"/>
        </w:rPr>
      </w:pPr>
      <w:r>
        <w:rPr>
          <w:rFonts w:ascii="Times New Roman" w:hAnsi="Times New Roman" w:cs="Times New Roman"/>
          <w:lang w:val="ro-RO"/>
        </w:rPr>
        <w:lastRenderedPageBreak/>
        <w:t>„</w:t>
      </w:r>
      <w:r w:rsidRPr="00A844E6">
        <w:rPr>
          <w:rFonts w:ascii="Times New Roman" w:hAnsi="Times New Roman" w:cs="Times New Roman"/>
          <w:i/>
          <w:lang w:val="ro-RO"/>
        </w:rPr>
        <w:t>Prin urmare, în lipsa oricărei invocări a unei denaturări a faptelor, argumentul prezentat de recurente, întemeiat pe o eroare pe care președintele Tribunalului ar fi săvârșit‑o prin efectuarea unor constatări de fapt pe baza informațiilor furnizate de Comisie fără să fi verificat în mod suficient caracterul exact și fiabil al acestora din urmă, trebuie respins ca inadmisibil</w:t>
      </w:r>
      <w:r w:rsidRPr="00A844E6">
        <w:rPr>
          <w:rFonts w:ascii="Times New Roman" w:hAnsi="Times New Roman" w:cs="Times New Roman"/>
          <w:lang w:val="ro-RO"/>
        </w:rPr>
        <w:t>.</w:t>
      </w:r>
      <w:r>
        <w:rPr>
          <w:rFonts w:ascii="Times New Roman" w:hAnsi="Times New Roman" w:cs="Times New Roman"/>
          <w:lang w:val="ro-RO"/>
        </w:rPr>
        <w:t>” (pct. 40)</w:t>
      </w:r>
    </w:p>
    <w:p w:rsidR="00F11F2E" w:rsidRDefault="00F11F2E" w:rsidP="009221B7">
      <w:pPr>
        <w:spacing w:before="120" w:after="120" w:line="276" w:lineRule="auto"/>
        <w:jc w:val="both"/>
        <w:rPr>
          <w:rFonts w:ascii="Times New Roman" w:hAnsi="Times New Roman" w:cs="Times New Roman"/>
          <w:lang w:val="ro-RO"/>
        </w:rPr>
      </w:pPr>
      <w:r w:rsidRPr="00F11F2E">
        <w:rPr>
          <w:rFonts w:ascii="Times New Roman" w:hAnsi="Times New Roman" w:cs="Times New Roman"/>
          <w:i/>
          <w:lang w:val="ro-RO"/>
        </w:rPr>
        <w:t>„(..) în cadrul unei cereri de măsuri provizorii, revine președintelui Tribunalului sarcina de a aprecia necesitatea de a organiza o ședință și de a asculta observațiile orale ale părților. În plus, acesta este singurul competent să aprecieze măsurile de organizare a procedurii pe care le consideră adecvate pentru a se pronunța asupra cererii de măsuri provizorii. În această privință, el trebuie să dispună de o largă marjă de apreciere</w:t>
      </w:r>
      <w:r w:rsidRPr="00DC20E9">
        <w:rPr>
          <w:rFonts w:ascii="Times New Roman" w:hAnsi="Times New Roman" w:cs="Times New Roman"/>
          <w:lang w:val="ro-RO"/>
        </w:rPr>
        <w:t>”.</w:t>
      </w:r>
      <w:r w:rsidR="00DC20E9">
        <w:rPr>
          <w:rFonts w:ascii="Times New Roman" w:hAnsi="Times New Roman" w:cs="Times New Roman"/>
          <w:lang w:val="ro-RO"/>
        </w:rPr>
        <w:t xml:space="preserve"> </w:t>
      </w:r>
      <w:r w:rsidR="00DC20E9" w:rsidRPr="00DC20E9">
        <w:rPr>
          <w:rFonts w:ascii="Times New Roman" w:hAnsi="Times New Roman" w:cs="Times New Roman"/>
          <w:lang w:val="ro-RO"/>
        </w:rPr>
        <w:t>(pct.45)</w:t>
      </w:r>
    </w:p>
    <w:p w:rsidR="00851C29" w:rsidRDefault="00851C29" w:rsidP="009221B7">
      <w:pPr>
        <w:spacing w:before="120" w:after="120" w:line="276" w:lineRule="auto"/>
        <w:jc w:val="both"/>
        <w:rPr>
          <w:rFonts w:ascii="Times New Roman" w:hAnsi="Times New Roman" w:cs="Times New Roman"/>
          <w:lang w:val="ro-RO"/>
        </w:rPr>
      </w:pPr>
      <w:r>
        <w:rPr>
          <w:rFonts w:ascii="Times New Roman" w:hAnsi="Times New Roman" w:cs="Times New Roman"/>
          <w:lang w:val="ro-RO"/>
        </w:rPr>
        <w:t>„</w:t>
      </w:r>
      <w:r w:rsidRPr="00851C29">
        <w:rPr>
          <w:rFonts w:ascii="Times New Roman" w:hAnsi="Times New Roman" w:cs="Times New Roman"/>
          <w:i/>
          <w:lang w:val="ro-RO"/>
        </w:rPr>
        <w:t>Or, doar împrejurarea că informațiile furnizate de Comisie au fost considerate, la punctul 40 din ordonanța atacată, ca prezentând o importanță decisivă pentru a se pronunța cu privire la motivul recurentelor întemeiat pe existența unui conflict de interese nu poate fi suficientă pentru a demonstra că președintele Tribunalului a depășit, în speță, limitele puterii sale discreționare</w:t>
      </w:r>
      <w:r w:rsidRPr="00851C29">
        <w:rPr>
          <w:rFonts w:ascii="Times New Roman" w:hAnsi="Times New Roman" w:cs="Times New Roman"/>
          <w:lang w:val="ro-RO"/>
        </w:rPr>
        <w:t>.</w:t>
      </w:r>
      <w:r>
        <w:rPr>
          <w:rFonts w:ascii="Times New Roman" w:hAnsi="Times New Roman" w:cs="Times New Roman"/>
          <w:lang w:val="ro-RO"/>
        </w:rPr>
        <w:t>” (pct. 46)</w:t>
      </w:r>
    </w:p>
    <w:p w:rsidR="00851C29" w:rsidRPr="00851C29" w:rsidRDefault="00851C29" w:rsidP="00851C29">
      <w:pPr>
        <w:spacing w:before="120" w:after="120" w:line="276" w:lineRule="auto"/>
        <w:jc w:val="both"/>
        <w:rPr>
          <w:rFonts w:ascii="Times New Roman" w:hAnsi="Times New Roman" w:cs="Times New Roman"/>
          <w:lang w:val="ro-RO"/>
        </w:rPr>
      </w:pPr>
      <w:r>
        <w:rPr>
          <w:rFonts w:ascii="Times New Roman" w:hAnsi="Times New Roman" w:cs="Times New Roman"/>
          <w:lang w:val="ro-RO"/>
        </w:rPr>
        <w:t xml:space="preserve">„(...) </w:t>
      </w:r>
      <w:r w:rsidRPr="00851C29">
        <w:rPr>
          <w:rFonts w:ascii="Times New Roman" w:hAnsi="Times New Roman" w:cs="Times New Roman"/>
          <w:i/>
          <w:lang w:val="ro-RO"/>
        </w:rPr>
        <w:t>nu este necesar să se considere totuși că președintele Tribunalului a săvârșit o eroare de drept prin faptul că a statuat că, ținând seama de lipsa implicării directe a administratorului unuia dintre ofertanții reținuți în procedura care a condus la atribuirea contractelor‑cadru în litigiu, conflictul de interese denunțat de recurente nu putea fi în niciun caz calificat drept „nelegalitate flagrantă și extrem de gravă</w:t>
      </w:r>
      <w:r w:rsidRPr="00851C29">
        <w:rPr>
          <w:rFonts w:ascii="Times New Roman" w:hAnsi="Times New Roman" w:cs="Times New Roman"/>
          <w:lang w:val="ro-RO"/>
        </w:rPr>
        <w:t>”.</w:t>
      </w:r>
      <w:r>
        <w:rPr>
          <w:rFonts w:ascii="Times New Roman" w:hAnsi="Times New Roman" w:cs="Times New Roman"/>
          <w:lang w:val="ro-RO"/>
        </w:rPr>
        <w:t xml:space="preserve"> (pct. 53)</w:t>
      </w:r>
    </w:p>
    <w:p w:rsidR="00851C29" w:rsidRDefault="00E81E16" w:rsidP="00851C29">
      <w:pPr>
        <w:spacing w:before="120" w:after="120" w:line="276" w:lineRule="auto"/>
        <w:jc w:val="both"/>
        <w:rPr>
          <w:rFonts w:ascii="Times New Roman" w:hAnsi="Times New Roman" w:cs="Times New Roman"/>
          <w:lang w:val="ro-RO"/>
        </w:rPr>
      </w:pPr>
      <w:r>
        <w:rPr>
          <w:rFonts w:ascii="Times New Roman" w:hAnsi="Times New Roman" w:cs="Times New Roman"/>
          <w:lang w:val="ro-RO"/>
        </w:rPr>
        <w:t>„</w:t>
      </w:r>
      <w:r w:rsidR="00851C29" w:rsidRPr="00E81E16">
        <w:rPr>
          <w:rFonts w:ascii="Times New Roman" w:hAnsi="Times New Roman" w:cs="Times New Roman"/>
          <w:i/>
          <w:lang w:val="ro-RO"/>
        </w:rPr>
        <w:t>Această apreciere trebuie considerată a fi suficientă pentru a justifica respingerea argumentului recurentelor potrivit căruia, pentru a li se admite cererea de măsuri provizorii, simpla constatare a existenței unui conflict de interese ar trebui să le scutească de sarcina de a dovedi existența unui prejudiciu grav și ireparabil în ceea ce le privește</w:t>
      </w:r>
      <w:r w:rsidR="00851C29" w:rsidRPr="00851C29">
        <w:rPr>
          <w:rFonts w:ascii="Times New Roman" w:hAnsi="Times New Roman" w:cs="Times New Roman"/>
          <w:lang w:val="ro-RO"/>
        </w:rPr>
        <w:t>.</w:t>
      </w:r>
      <w:r w:rsidR="00851C29">
        <w:rPr>
          <w:rFonts w:ascii="Times New Roman" w:hAnsi="Times New Roman" w:cs="Times New Roman"/>
          <w:lang w:val="ro-RO"/>
        </w:rPr>
        <w:t xml:space="preserve"> (pct. 54)</w:t>
      </w:r>
    </w:p>
    <w:p w:rsidR="00BB2836" w:rsidRDefault="00851C29" w:rsidP="009221B7">
      <w:pPr>
        <w:spacing w:before="120" w:after="120" w:line="276" w:lineRule="auto"/>
        <w:jc w:val="both"/>
        <w:rPr>
          <w:rFonts w:ascii="Times New Roman" w:hAnsi="Times New Roman" w:cs="Times New Roman"/>
          <w:lang w:val="ro-RO"/>
        </w:rPr>
      </w:pPr>
      <w:r w:rsidRPr="00851C29">
        <w:rPr>
          <w:rFonts w:ascii="Times New Roman" w:hAnsi="Times New Roman" w:cs="Times New Roman"/>
          <w:lang w:val="ro-RO"/>
        </w:rPr>
        <w:t xml:space="preserve">„(...) </w:t>
      </w:r>
      <w:r w:rsidR="00BB2836" w:rsidRPr="00851C29">
        <w:rPr>
          <w:rFonts w:ascii="Times New Roman" w:hAnsi="Times New Roman" w:cs="Times New Roman"/>
          <w:i/>
          <w:lang w:val="ro-RO"/>
        </w:rPr>
        <w:t>numai nelegalitatea unui act care prezintă un caracter într‑atât de vădit încât nu prezintă nici măcar o aparență de legalitate ar determina ca executarea acelui act să fie suspendată fără ca reclamantul să trebuiască să demonstreze existența unui prejudiciu grav și ireparabil în caz de continuare a acestei executări</w:t>
      </w:r>
      <w:r>
        <w:rPr>
          <w:rFonts w:ascii="Times New Roman" w:hAnsi="Times New Roman" w:cs="Times New Roman"/>
          <w:i/>
          <w:lang w:val="ro-RO"/>
        </w:rPr>
        <w:t>”</w:t>
      </w:r>
      <w:r>
        <w:rPr>
          <w:rFonts w:ascii="Times New Roman" w:hAnsi="Times New Roman" w:cs="Times New Roman"/>
          <w:lang w:val="ro-RO"/>
        </w:rPr>
        <w:t xml:space="preserve"> (pct. 55)</w:t>
      </w:r>
    </w:p>
    <w:p w:rsidR="00A844E6" w:rsidRDefault="00A844E6" w:rsidP="00A844E6">
      <w:pPr>
        <w:spacing w:before="120" w:after="120" w:line="276" w:lineRule="auto"/>
        <w:jc w:val="both"/>
        <w:rPr>
          <w:rFonts w:ascii="Times New Roman" w:hAnsi="Times New Roman" w:cs="Times New Roman"/>
          <w:lang w:val="ro-RO"/>
        </w:rPr>
      </w:pPr>
      <w:r w:rsidRPr="00E81E16">
        <w:rPr>
          <w:rFonts w:ascii="Times New Roman" w:hAnsi="Times New Roman" w:cs="Times New Roman"/>
          <w:i/>
          <w:lang w:val="ro-RO"/>
        </w:rPr>
        <w:t>Prin intermediul celui de al doilea motiv, recurentele susțin, făcând trimitere la jurisprudența Tribunalului, că criteriile stabilite în vederea aprecierii urgenței în materie de achiziții publice diferă de cele aplicabile în alte domenii ale dreptului Uniunii. Astfel, ținând seama de imperativele care decurg din protecția jurisdicțională care trebuie garantată în materie de achiziții publice, nu se poate impune unui ofertant respins, care reușește să demonstreze existența unui fumus boni iuris deosebit de serios, să dovedească faptul că respingerea cererii sale de măsuri provizorii ar risca să îi cauzeze un prejudiciu ireparabil</w:t>
      </w:r>
      <w:r w:rsidRPr="00A844E6">
        <w:rPr>
          <w:rFonts w:ascii="Times New Roman" w:hAnsi="Times New Roman" w:cs="Times New Roman"/>
          <w:lang w:val="ro-RO"/>
        </w:rPr>
        <w:t>.</w:t>
      </w:r>
      <w:r w:rsidR="00E81E16">
        <w:rPr>
          <w:rFonts w:ascii="Times New Roman" w:hAnsi="Times New Roman" w:cs="Times New Roman"/>
          <w:lang w:val="ro-RO"/>
        </w:rPr>
        <w:t xml:space="preserve"> (pct. 59)</w:t>
      </w:r>
    </w:p>
    <w:p w:rsidR="00A844E6" w:rsidRDefault="00E81E16" w:rsidP="009221B7">
      <w:pPr>
        <w:spacing w:before="120" w:after="120" w:line="276" w:lineRule="auto"/>
        <w:jc w:val="both"/>
        <w:rPr>
          <w:rFonts w:ascii="Times New Roman" w:hAnsi="Times New Roman" w:cs="Times New Roman"/>
          <w:lang w:val="ro-RO"/>
        </w:rPr>
      </w:pPr>
      <w:r w:rsidRPr="00E81E16">
        <w:rPr>
          <w:rFonts w:ascii="Times New Roman" w:hAnsi="Times New Roman" w:cs="Times New Roman"/>
          <w:i/>
          <w:lang w:val="ro-RO"/>
        </w:rPr>
        <w:t>Astfel, în temeiul acestei jurisprudențe, finalitatea procedurii de măsuri provizorii este de a garanta deplina eficacitate a viitoarei decizii definitive în vederea evitării unei lacune în protecția juridică asigurată de Curte. Tocmai în scopul atingerii acestui obiectiv, urgența trebuie apreciată în raport cu necesitatea care există de a se statua cu titlu provizoriu pentru a evita cauzarea unui prejudiciu grav și ireparabil părții care solicită protecția provizorie. Acestei părți îi revine sarcina de a face dovada că nu poate aștepta soluționarea pe fond a procedurii fără a avea de suferit un prejudiciu de această natură. Deși este exact că, pentru a stabili existența acestui prejudiciu, nu este necesar să se impună ca producerea și iminența acestuia să fie dovedite cu o certitudine absolută și că este suficient ca prejudiciul menționat să fie previzibil cu un grad de probabilitate suficient, nu este mai puțin adevărat că partea care solicită o măsură provizorie continuă să fie ținută să dovedească faptele pe care se întemeiază perspectiva unui astfel de prejudiciu</w:t>
      </w:r>
      <w:r>
        <w:rPr>
          <w:rFonts w:ascii="Times New Roman" w:hAnsi="Times New Roman" w:cs="Times New Roman"/>
          <w:lang w:val="ro-RO"/>
        </w:rPr>
        <w:t xml:space="preserve"> (pct. 64)</w:t>
      </w:r>
    </w:p>
    <w:p w:rsidR="00E81E16" w:rsidRDefault="00E81E16" w:rsidP="009221B7">
      <w:pPr>
        <w:spacing w:before="120" w:after="120" w:line="276" w:lineRule="auto"/>
        <w:jc w:val="both"/>
        <w:rPr>
          <w:rFonts w:ascii="Times New Roman" w:hAnsi="Times New Roman" w:cs="Times New Roman"/>
          <w:lang w:val="ro-RO"/>
        </w:rPr>
      </w:pPr>
      <w:r>
        <w:rPr>
          <w:rFonts w:ascii="Times New Roman" w:hAnsi="Times New Roman" w:cs="Times New Roman"/>
          <w:i/>
          <w:lang w:val="ro-RO"/>
        </w:rPr>
        <w:t>„</w:t>
      </w:r>
      <w:r w:rsidRPr="00E81E16">
        <w:rPr>
          <w:rFonts w:ascii="Times New Roman" w:hAnsi="Times New Roman" w:cs="Times New Roman"/>
          <w:i/>
          <w:lang w:val="ro-RO"/>
        </w:rPr>
        <w:t>Or, în conformitate cu dreptul la o cale de atac efectivă, consacrat la articolul 47 din Carta drepturilor fundamentale, Curtea a statuat, întemeindu‑se pe dispozițiile Directivei 89/665, că o protecție jurisdicțională efectivă impune ca persoanele interesate să fie informate despre o decizie de atribuire a unui contract de achiziții publice cu o anumită perioadă înainte de încheierea contractului, pentru ca acestea să dispună de o reală posibilitate de a formula o acțiune, în special o cerere de măsuri provizorii, până la această încheiere</w:t>
      </w:r>
      <w:r>
        <w:rPr>
          <w:rFonts w:ascii="Times New Roman" w:hAnsi="Times New Roman" w:cs="Times New Roman"/>
          <w:i/>
          <w:lang w:val="ro-RO"/>
        </w:rPr>
        <w:t>.</w:t>
      </w:r>
      <w:r>
        <w:rPr>
          <w:rFonts w:ascii="Times New Roman" w:hAnsi="Times New Roman" w:cs="Times New Roman"/>
          <w:lang w:val="ro-RO"/>
        </w:rPr>
        <w:t xml:space="preserve"> (pct.70)</w:t>
      </w:r>
    </w:p>
    <w:p w:rsidR="00205AD3" w:rsidRPr="00205AD3" w:rsidRDefault="00205AD3" w:rsidP="009221B7">
      <w:pPr>
        <w:spacing w:before="120" w:after="120" w:line="276" w:lineRule="auto"/>
        <w:jc w:val="both"/>
        <w:rPr>
          <w:rFonts w:ascii="Times New Roman" w:hAnsi="Times New Roman" w:cs="Times New Roman"/>
          <w:i/>
          <w:lang w:val="ro-RO"/>
        </w:rPr>
      </w:pPr>
      <w:r>
        <w:rPr>
          <w:rFonts w:ascii="Times New Roman" w:hAnsi="Times New Roman" w:cs="Times New Roman"/>
          <w:i/>
          <w:lang w:val="ro-RO"/>
        </w:rPr>
        <w:lastRenderedPageBreak/>
        <w:t>„</w:t>
      </w:r>
      <w:r w:rsidRPr="00205AD3">
        <w:rPr>
          <w:rFonts w:ascii="Times New Roman" w:hAnsi="Times New Roman" w:cs="Times New Roman"/>
          <w:i/>
          <w:lang w:val="ro-RO"/>
        </w:rPr>
        <w:t>Reiese din articolul 2 alineatul (7) din Directiva 89/665 că obligația statelor membre de a prevedea, în dreptul lor național, posibilitatea unei persoane, care este lezată de o decizie adoptată în urma unei proceduri de atribuire a unui contract de achiziții publice, de a solicita măsuri provizorii este limitată la perioada cuprinsă între adoptarea acestei decizii și încheierea contractului. Pentru a garanta efectivitatea căilor de atac prin care se urmărește pronunțarea unor măsuri provizorii, articolul 2a alineatul (2) din această directivă stabilește un termen suspensiv de zece zile calendaristice pentru a permite persoanelor interesate să conteste în justiție atribuirea unui contract înainte de încheierea acestuia</w:t>
      </w:r>
      <w:r>
        <w:rPr>
          <w:rFonts w:ascii="Times New Roman" w:hAnsi="Times New Roman" w:cs="Times New Roman"/>
          <w:i/>
          <w:lang w:val="ro-RO"/>
        </w:rPr>
        <w:t>.”</w:t>
      </w:r>
      <w:r w:rsidRPr="00205AD3">
        <w:rPr>
          <w:rFonts w:ascii="Times New Roman" w:hAnsi="Times New Roman" w:cs="Times New Roman"/>
          <w:i/>
          <w:lang w:val="ro-RO"/>
        </w:rPr>
        <w:t xml:space="preserve"> (pct.72)</w:t>
      </w:r>
    </w:p>
    <w:p w:rsidR="00205AD3" w:rsidRDefault="00205AD3" w:rsidP="009221B7">
      <w:pPr>
        <w:spacing w:before="120" w:after="120" w:line="276" w:lineRule="auto"/>
        <w:jc w:val="both"/>
        <w:rPr>
          <w:rFonts w:ascii="Times New Roman" w:hAnsi="Times New Roman" w:cs="Times New Roman"/>
          <w:lang w:val="ro-RO"/>
        </w:rPr>
      </w:pPr>
      <w:r>
        <w:rPr>
          <w:rFonts w:ascii="Times New Roman" w:hAnsi="Times New Roman" w:cs="Times New Roman"/>
          <w:i/>
          <w:lang w:val="ro-RO"/>
        </w:rPr>
        <w:t>„</w:t>
      </w:r>
      <w:r w:rsidRPr="00205AD3">
        <w:rPr>
          <w:rFonts w:ascii="Times New Roman" w:hAnsi="Times New Roman" w:cs="Times New Roman"/>
          <w:i/>
          <w:lang w:val="ro-RO"/>
        </w:rPr>
        <w:t>Cu toate acestea, articolul 2b litera (a) din Directiva 89/665 prevede că statele membre pot prevedea ca acest termen suspensiv să nu se aplice dacă Directiva 2014/24 nu impune publicarea prealabilă a unui anunț de participare în Jurnalul Oficial al Uniunii Europene</w:t>
      </w:r>
      <w:r w:rsidRPr="00205AD3">
        <w:rPr>
          <w:rFonts w:ascii="Times New Roman" w:hAnsi="Times New Roman" w:cs="Times New Roman"/>
          <w:lang w:val="ro-RO"/>
        </w:rPr>
        <w:t>.</w:t>
      </w:r>
      <w:r>
        <w:rPr>
          <w:rFonts w:ascii="Times New Roman" w:hAnsi="Times New Roman" w:cs="Times New Roman"/>
          <w:lang w:val="ro-RO"/>
        </w:rPr>
        <w:t>”(pct.73)</w:t>
      </w:r>
    </w:p>
    <w:p w:rsidR="00205AD3" w:rsidRDefault="0048117C" w:rsidP="009221B7">
      <w:pPr>
        <w:spacing w:before="120" w:after="120" w:line="276" w:lineRule="auto"/>
        <w:jc w:val="both"/>
        <w:rPr>
          <w:rFonts w:ascii="Times New Roman" w:hAnsi="Times New Roman" w:cs="Times New Roman"/>
          <w:lang w:val="ro-RO"/>
        </w:rPr>
      </w:pPr>
      <w:r>
        <w:rPr>
          <w:rFonts w:ascii="Times New Roman" w:hAnsi="Times New Roman" w:cs="Times New Roman"/>
          <w:lang w:val="ro-RO"/>
        </w:rPr>
        <w:t>„</w:t>
      </w:r>
      <w:r w:rsidRPr="0048117C">
        <w:rPr>
          <w:rFonts w:ascii="Times New Roman" w:hAnsi="Times New Roman" w:cs="Times New Roman"/>
          <w:i/>
          <w:lang w:val="ro-RO"/>
        </w:rPr>
        <w:t>R</w:t>
      </w:r>
      <w:r w:rsidR="00205AD3" w:rsidRPr="0048117C">
        <w:rPr>
          <w:rFonts w:ascii="Times New Roman" w:hAnsi="Times New Roman" w:cs="Times New Roman"/>
          <w:i/>
          <w:lang w:val="ro-RO"/>
        </w:rPr>
        <w:t>ezultă astfel din coroborarea articolului 2b litera (a) și a articolului 2 alineatul (7) din Directiva 89/665 că, într‑o asemenea situație, această directivă nu impune statelor membre să garanteze ofertanților respinși sau altor persoane interesate o posibilitate efectivă de a solicita acordarea de măsuri provizorii</w:t>
      </w:r>
      <w:r w:rsidR="00205AD3" w:rsidRPr="00205AD3">
        <w:rPr>
          <w:rFonts w:ascii="Times New Roman" w:hAnsi="Times New Roman" w:cs="Times New Roman"/>
          <w:lang w:val="ro-RO"/>
        </w:rPr>
        <w:t>.</w:t>
      </w:r>
      <w:r>
        <w:rPr>
          <w:rFonts w:ascii="Times New Roman" w:hAnsi="Times New Roman" w:cs="Times New Roman"/>
          <w:lang w:val="ro-RO"/>
        </w:rPr>
        <w:t>” (pct.75)</w:t>
      </w:r>
    </w:p>
    <w:p w:rsidR="0048117C" w:rsidRDefault="0048117C" w:rsidP="0048117C">
      <w:pPr>
        <w:spacing w:before="120" w:after="120" w:line="276" w:lineRule="auto"/>
        <w:jc w:val="both"/>
        <w:rPr>
          <w:rFonts w:ascii="Times New Roman" w:hAnsi="Times New Roman" w:cs="Times New Roman"/>
          <w:lang w:val="ro-RO"/>
        </w:rPr>
      </w:pPr>
      <w:r>
        <w:rPr>
          <w:rFonts w:ascii="Times New Roman" w:hAnsi="Times New Roman" w:cs="Times New Roman"/>
          <w:i/>
          <w:lang w:val="ro-RO"/>
        </w:rPr>
        <w:t>„</w:t>
      </w:r>
      <w:r w:rsidRPr="0048117C">
        <w:rPr>
          <w:rFonts w:ascii="Times New Roman" w:hAnsi="Times New Roman" w:cs="Times New Roman"/>
          <w:i/>
          <w:lang w:val="ro-RO"/>
        </w:rPr>
        <w:t xml:space="preserve">Astfel, procedura de negociere fără publicarea prealabilă a unui anunț de participare constituie o procedură excepțională la care nu se poate recurge decât în împrejurări enumerate limitativ de Directiva 2014/24 </w:t>
      </w:r>
      <w:r w:rsidRPr="0048117C">
        <w:rPr>
          <w:rFonts w:ascii="Times New Roman" w:hAnsi="Times New Roman" w:cs="Times New Roman"/>
          <w:i/>
          <w:lang w:val="ro-RO"/>
        </w:rPr>
        <w:t>(...)</w:t>
      </w:r>
      <w:r w:rsidRPr="0048117C">
        <w:rPr>
          <w:rFonts w:ascii="Times New Roman" w:hAnsi="Times New Roman" w:cs="Times New Roman"/>
          <w:i/>
          <w:lang w:val="ro-RO"/>
        </w:rPr>
        <w:t xml:space="preserve"> Printre aceste împrejurări care justifică aplicarea unui regim specific figurează existența unei urgențe extreme. Aceasta din urmă implică în mod necesar că contractul de achiziții publice în cauză trebuie să fie încheiat și executat fără întârziere, motiv pentru care respectarea termenelor aplicabile în mod normal și posibilitatea ofertanților respinși sau a altor persoane interesate de a obține o suspendare a încheierii sau a executării contractului pot fi înlăturate</w:t>
      </w:r>
      <w:r w:rsidRPr="0048117C">
        <w:rPr>
          <w:rFonts w:ascii="Times New Roman" w:hAnsi="Times New Roman" w:cs="Times New Roman"/>
          <w:lang w:val="ro-RO"/>
        </w:rPr>
        <w:t>.</w:t>
      </w:r>
      <w:r>
        <w:rPr>
          <w:rFonts w:ascii="Times New Roman" w:hAnsi="Times New Roman" w:cs="Times New Roman"/>
          <w:lang w:val="ro-RO"/>
        </w:rPr>
        <w:t>” (pct. 77,78)</w:t>
      </w:r>
    </w:p>
    <w:p w:rsidR="0048117C" w:rsidRPr="0048117C" w:rsidRDefault="0048117C" w:rsidP="0048117C">
      <w:pPr>
        <w:spacing w:before="120" w:after="120" w:line="276" w:lineRule="auto"/>
        <w:jc w:val="both"/>
        <w:rPr>
          <w:rFonts w:ascii="Times New Roman" w:hAnsi="Times New Roman" w:cs="Times New Roman"/>
          <w:i/>
          <w:lang w:val="ro-RO"/>
        </w:rPr>
      </w:pPr>
      <w:r>
        <w:rPr>
          <w:rFonts w:ascii="Times New Roman" w:hAnsi="Times New Roman" w:cs="Times New Roman"/>
          <w:i/>
          <w:lang w:val="ro-RO"/>
        </w:rPr>
        <w:t>„</w:t>
      </w:r>
      <w:r w:rsidRPr="0048117C">
        <w:rPr>
          <w:rFonts w:ascii="Times New Roman" w:hAnsi="Times New Roman" w:cs="Times New Roman"/>
          <w:i/>
          <w:lang w:val="ro-RO"/>
        </w:rPr>
        <w:t>Din cele de mai sus rezultă că președintele Tribunalului nu a săvârșit o eroare de drept atunci când a considerat că dreptul la protecție jurisdicțională efectivă nu presupune că o persoană interesată plasată în situația recurentelor trebuie să dispună de o posibilitate efectivă de a obține măsuri provizorii și, prin urmare, că specificitățile procedurii în temeiul căreia au fost încheiate contractele‑cadru în litigiu nu pot presupune că flexibilizarea condițiilor aplicabile pentru a aprecia existența urgenței în materie de achiziții publice care rezultă din Ordonanța din 23 aprilie 2015, Comisia/Vanbreda Risk &amp; Benefits, se aplică în afara fazei precontractuale.</w:t>
      </w:r>
      <w:r>
        <w:rPr>
          <w:rFonts w:ascii="Times New Roman" w:hAnsi="Times New Roman" w:cs="Times New Roman"/>
          <w:i/>
          <w:lang w:val="ro-RO"/>
        </w:rPr>
        <w:t xml:space="preserve">” </w:t>
      </w:r>
      <w:bookmarkStart w:id="0" w:name="_GoBack"/>
      <w:bookmarkEnd w:id="0"/>
      <w:r>
        <w:rPr>
          <w:rFonts w:ascii="Times New Roman" w:hAnsi="Times New Roman" w:cs="Times New Roman"/>
          <w:i/>
          <w:lang w:val="ro-RO"/>
        </w:rPr>
        <w:t>(pct.82)</w:t>
      </w:r>
    </w:p>
    <w:sectPr w:rsidR="0048117C" w:rsidRPr="0048117C" w:rsidSect="006E2077">
      <w:footerReference w:type="default" r:id="rId7"/>
      <w:pgSz w:w="12240" w:h="15840"/>
      <w:pgMar w:top="426" w:right="900" w:bottom="426"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294" w:rsidRDefault="00042294" w:rsidP="004F21C1">
      <w:pPr>
        <w:spacing w:after="0" w:line="240" w:lineRule="auto"/>
      </w:pPr>
      <w:r>
        <w:separator/>
      </w:r>
    </w:p>
  </w:endnote>
  <w:endnote w:type="continuationSeparator" w:id="0">
    <w:p w:rsidR="00042294" w:rsidRDefault="00042294" w:rsidP="004F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81915"/>
      <w:docPartObj>
        <w:docPartGallery w:val="Page Numbers (Bottom of Page)"/>
        <w:docPartUnique/>
      </w:docPartObj>
    </w:sdtPr>
    <w:sdtEndPr>
      <w:rPr>
        <w:noProof/>
      </w:rPr>
    </w:sdtEndPr>
    <w:sdtContent>
      <w:p w:rsidR="004F21C1" w:rsidRDefault="004F21C1">
        <w:pPr>
          <w:pStyle w:val="Footer"/>
          <w:jc w:val="right"/>
        </w:pPr>
        <w:r>
          <w:fldChar w:fldCharType="begin"/>
        </w:r>
        <w:r>
          <w:instrText xml:space="preserve"> PAGE   \* MERGEFORMAT </w:instrText>
        </w:r>
        <w:r>
          <w:fldChar w:fldCharType="separate"/>
        </w:r>
        <w:r w:rsidR="0048117C">
          <w:rPr>
            <w:noProof/>
          </w:rPr>
          <w:t>2</w:t>
        </w:r>
        <w:r>
          <w:rPr>
            <w:noProof/>
          </w:rPr>
          <w:fldChar w:fldCharType="end"/>
        </w:r>
      </w:p>
    </w:sdtContent>
  </w:sdt>
  <w:p w:rsidR="004F21C1" w:rsidRDefault="004F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294" w:rsidRDefault="00042294" w:rsidP="004F21C1">
      <w:pPr>
        <w:spacing w:after="0" w:line="240" w:lineRule="auto"/>
      </w:pPr>
      <w:r>
        <w:separator/>
      </w:r>
    </w:p>
  </w:footnote>
  <w:footnote w:type="continuationSeparator" w:id="0">
    <w:p w:rsidR="00042294" w:rsidRDefault="00042294" w:rsidP="004F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97357"/>
    <w:multiLevelType w:val="hybridMultilevel"/>
    <w:tmpl w:val="EB443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1378C"/>
    <w:multiLevelType w:val="hybridMultilevel"/>
    <w:tmpl w:val="CE28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C7CAE"/>
    <w:multiLevelType w:val="multilevel"/>
    <w:tmpl w:val="CD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07148C"/>
    <w:multiLevelType w:val="hybridMultilevel"/>
    <w:tmpl w:val="4B383710"/>
    <w:lvl w:ilvl="0" w:tplc="D2BE78DC">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904446"/>
    <w:multiLevelType w:val="hybridMultilevel"/>
    <w:tmpl w:val="5C44236A"/>
    <w:lvl w:ilvl="0" w:tplc="78E42630">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764727"/>
    <w:multiLevelType w:val="hybridMultilevel"/>
    <w:tmpl w:val="6F5450DC"/>
    <w:lvl w:ilvl="0" w:tplc="133ADA1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8D"/>
    <w:rsid w:val="00011810"/>
    <w:rsid w:val="00012007"/>
    <w:rsid w:val="00013737"/>
    <w:rsid w:val="00016466"/>
    <w:rsid w:val="00023271"/>
    <w:rsid w:val="00036A89"/>
    <w:rsid w:val="000374EF"/>
    <w:rsid w:val="00042294"/>
    <w:rsid w:val="00043996"/>
    <w:rsid w:val="00047E32"/>
    <w:rsid w:val="00056BEC"/>
    <w:rsid w:val="00057BF1"/>
    <w:rsid w:val="00063E69"/>
    <w:rsid w:val="000826DE"/>
    <w:rsid w:val="0009039A"/>
    <w:rsid w:val="0009133D"/>
    <w:rsid w:val="0009262E"/>
    <w:rsid w:val="000A77FE"/>
    <w:rsid w:val="000B1178"/>
    <w:rsid w:val="000B615E"/>
    <w:rsid w:val="000C7870"/>
    <w:rsid w:val="000E48C9"/>
    <w:rsid w:val="000F65F9"/>
    <w:rsid w:val="000F6780"/>
    <w:rsid w:val="000F68A0"/>
    <w:rsid w:val="00105A7C"/>
    <w:rsid w:val="00110627"/>
    <w:rsid w:val="00113F2C"/>
    <w:rsid w:val="00117D0B"/>
    <w:rsid w:val="00130F3F"/>
    <w:rsid w:val="00131B0E"/>
    <w:rsid w:val="00131E4E"/>
    <w:rsid w:val="00134A15"/>
    <w:rsid w:val="001374F9"/>
    <w:rsid w:val="00144B4B"/>
    <w:rsid w:val="001562F8"/>
    <w:rsid w:val="00173004"/>
    <w:rsid w:val="0019474F"/>
    <w:rsid w:val="00195D9A"/>
    <w:rsid w:val="001B00A5"/>
    <w:rsid w:val="001D0DD4"/>
    <w:rsid w:val="001D6B0F"/>
    <w:rsid w:val="001D6DC0"/>
    <w:rsid w:val="001E2AE3"/>
    <w:rsid w:val="001F35E4"/>
    <w:rsid w:val="001F5062"/>
    <w:rsid w:val="001F7DC8"/>
    <w:rsid w:val="00201061"/>
    <w:rsid w:val="00205AD3"/>
    <w:rsid w:val="002070C5"/>
    <w:rsid w:val="00232646"/>
    <w:rsid w:val="00240A2E"/>
    <w:rsid w:val="00240ECB"/>
    <w:rsid w:val="00244777"/>
    <w:rsid w:val="00254B13"/>
    <w:rsid w:val="00261A87"/>
    <w:rsid w:val="00262E38"/>
    <w:rsid w:val="002650C2"/>
    <w:rsid w:val="00291728"/>
    <w:rsid w:val="002A043E"/>
    <w:rsid w:val="002A6834"/>
    <w:rsid w:val="002B1E82"/>
    <w:rsid w:val="002B29AE"/>
    <w:rsid w:val="002B4E9B"/>
    <w:rsid w:val="002C211D"/>
    <w:rsid w:val="002C41C2"/>
    <w:rsid w:val="002F5B5C"/>
    <w:rsid w:val="003023CF"/>
    <w:rsid w:val="003072B0"/>
    <w:rsid w:val="00340CE2"/>
    <w:rsid w:val="0035231A"/>
    <w:rsid w:val="00353C38"/>
    <w:rsid w:val="00375B7D"/>
    <w:rsid w:val="0037684A"/>
    <w:rsid w:val="00385D47"/>
    <w:rsid w:val="003A5763"/>
    <w:rsid w:val="003B310B"/>
    <w:rsid w:val="003B76F4"/>
    <w:rsid w:val="003C0EC1"/>
    <w:rsid w:val="003D1E11"/>
    <w:rsid w:val="003F2782"/>
    <w:rsid w:val="00401860"/>
    <w:rsid w:val="004111FC"/>
    <w:rsid w:val="00424411"/>
    <w:rsid w:val="0042514E"/>
    <w:rsid w:val="004370B2"/>
    <w:rsid w:val="00456E3D"/>
    <w:rsid w:val="0046012B"/>
    <w:rsid w:val="004611B3"/>
    <w:rsid w:val="0046616F"/>
    <w:rsid w:val="004668DB"/>
    <w:rsid w:val="0048117C"/>
    <w:rsid w:val="004907D0"/>
    <w:rsid w:val="00490EDC"/>
    <w:rsid w:val="004951D2"/>
    <w:rsid w:val="004A0E05"/>
    <w:rsid w:val="004B6570"/>
    <w:rsid w:val="004C6DD4"/>
    <w:rsid w:val="004D15C9"/>
    <w:rsid w:val="004F21C1"/>
    <w:rsid w:val="00502C68"/>
    <w:rsid w:val="005032F2"/>
    <w:rsid w:val="005064A9"/>
    <w:rsid w:val="00513FCC"/>
    <w:rsid w:val="005220CD"/>
    <w:rsid w:val="00525268"/>
    <w:rsid w:val="00525D91"/>
    <w:rsid w:val="005261C6"/>
    <w:rsid w:val="00530DD9"/>
    <w:rsid w:val="005319E8"/>
    <w:rsid w:val="005409DE"/>
    <w:rsid w:val="00543C22"/>
    <w:rsid w:val="00555883"/>
    <w:rsid w:val="00556C8B"/>
    <w:rsid w:val="005620F8"/>
    <w:rsid w:val="00565876"/>
    <w:rsid w:val="005756DC"/>
    <w:rsid w:val="00585396"/>
    <w:rsid w:val="0062377B"/>
    <w:rsid w:val="006367BE"/>
    <w:rsid w:val="00643D07"/>
    <w:rsid w:val="00650BA6"/>
    <w:rsid w:val="006513FA"/>
    <w:rsid w:val="00652D29"/>
    <w:rsid w:val="006566B9"/>
    <w:rsid w:val="00663946"/>
    <w:rsid w:val="00664C4A"/>
    <w:rsid w:val="00666313"/>
    <w:rsid w:val="006A0EC0"/>
    <w:rsid w:val="006A2373"/>
    <w:rsid w:val="006A47BE"/>
    <w:rsid w:val="006B31B9"/>
    <w:rsid w:val="006B44F8"/>
    <w:rsid w:val="006B461D"/>
    <w:rsid w:val="006B5630"/>
    <w:rsid w:val="006B6EC3"/>
    <w:rsid w:val="006D63C2"/>
    <w:rsid w:val="006E2077"/>
    <w:rsid w:val="006E6152"/>
    <w:rsid w:val="006F1E30"/>
    <w:rsid w:val="00703666"/>
    <w:rsid w:val="00714029"/>
    <w:rsid w:val="00722CE2"/>
    <w:rsid w:val="0072460F"/>
    <w:rsid w:val="007416DE"/>
    <w:rsid w:val="0075300B"/>
    <w:rsid w:val="0077192E"/>
    <w:rsid w:val="00773B31"/>
    <w:rsid w:val="00774506"/>
    <w:rsid w:val="00781285"/>
    <w:rsid w:val="0079274F"/>
    <w:rsid w:val="00794A33"/>
    <w:rsid w:val="007A6D23"/>
    <w:rsid w:val="007C0350"/>
    <w:rsid w:val="007C07BB"/>
    <w:rsid w:val="007C3939"/>
    <w:rsid w:val="007D00C0"/>
    <w:rsid w:val="007D288D"/>
    <w:rsid w:val="007E4E88"/>
    <w:rsid w:val="007E67E9"/>
    <w:rsid w:val="007E76D9"/>
    <w:rsid w:val="007F1DEE"/>
    <w:rsid w:val="008148B0"/>
    <w:rsid w:val="00815C37"/>
    <w:rsid w:val="00832576"/>
    <w:rsid w:val="0084575C"/>
    <w:rsid w:val="00851C29"/>
    <w:rsid w:val="00851DA6"/>
    <w:rsid w:val="00863AA4"/>
    <w:rsid w:val="008705D3"/>
    <w:rsid w:val="00883A1A"/>
    <w:rsid w:val="00886DBB"/>
    <w:rsid w:val="00897C14"/>
    <w:rsid w:val="008A2AE0"/>
    <w:rsid w:val="008A3447"/>
    <w:rsid w:val="008B1257"/>
    <w:rsid w:val="008D07B2"/>
    <w:rsid w:val="008D0D42"/>
    <w:rsid w:val="008D1DA0"/>
    <w:rsid w:val="008D247A"/>
    <w:rsid w:val="008E57EB"/>
    <w:rsid w:val="008E6B08"/>
    <w:rsid w:val="00914F9C"/>
    <w:rsid w:val="00917010"/>
    <w:rsid w:val="00921906"/>
    <w:rsid w:val="009221B7"/>
    <w:rsid w:val="00931470"/>
    <w:rsid w:val="0093517F"/>
    <w:rsid w:val="00937DA2"/>
    <w:rsid w:val="00940A5C"/>
    <w:rsid w:val="00946AE2"/>
    <w:rsid w:val="00947E92"/>
    <w:rsid w:val="00953136"/>
    <w:rsid w:val="0097561C"/>
    <w:rsid w:val="009803FE"/>
    <w:rsid w:val="00980897"/>
    <w:rsid w:val="00983234"/>
    <w:rsid w:val="009923EA"/>
    <w:rsid w:val="00993DC5"/>
    <w:rsid w:val="00997AEF"/>
    <w:rsid w:val="009A7338"/>
    <w:rsid w:val="009C6542"/>
    <w:rsid w:val="009D0708"/>
    <w:rsid w:val="009D07FB"/>
    <w:rsid w:val="009D6B4E"/>
    <w:rsid w:val="009D7431"/>
    <w:rsid w:val="009E72A8"/>
    <w:rsid w:val="009F20B7"/>
    <w:rsid w:val="00A00775"/>
    <w:rsid w:val="00A019DE"/>
    <w:rsid w:val="00A01D77"/>
    <w:rsid w:val="00A222C6"/>
    <w:rsid w:val="00A31597"/>
    <w:rsid w:val="00A31C1C"/>
    <w:rsid w:val="00A402DF"/>
    <w:rsid w:val="00A40D4B"/>
    <w:rsid w:val="00A4175A"/>
    <w:rsid w:val="00A5491A"/>
    <w:rsid w:val="00A60711"/>
    <w:rsid w:val="00A63E0E"/>
    <w:rsid w:val="00A6737B"/>
    <w:rsid w:val="00A70039"/>
    <w:rsid w:val="00A735AB"/>
    <w:rsid w:val="00A844E6"/>
    <w:rsid w:val="00A8744D"/>
    <w:rsid w:val="00AC3BDD"/>
    <w:rsid w:val="00AC5729"/>
    <w:rsid w:val="00AC5D73"/>
    <w:rsid w:val="00AD0393"/>
    <w:rsid w:val="00AD0637"/>
    <w:rsid w:val="00AD337B"/>
    <w:rsid w:val="00AE307B"/>
    <w:rsid w:val="00B3364A"/>
    <w:rsid w:val="00B5448C"/>
    <w:rsid w:val="00B8108B"/>
    <w:rsid w:val="00B831A5"/>
    <w:rsid w:val="00B90EEC"/>
    <w:rsid w:val="00B9185C"/>
    <w:rsid w:val="00B95FEA"/>
    <w:rsid w:val="00BA1415"/>
    <w:rsid w:val="00BA7EC7"/>
    <w:rsid w:val="00BB1BD2"/>
    <w:rsid w:val="00BB2836"/>
    <w:rsid w:val="00BB51D3"/>
    <w:rsid w:val="00BC23D4"/>
    <w:rsid w:val="00BC316D"/>
    <w:rsid w:val="00BC44E8"/>
    <w:rsid w:val="00BC525F"/>
    <w:rsid w:val="00BD42FB"/>
    <w:rsid w:val="00BF70B0"/>
    <w:rsid w:val="00C038B2"/>
    <w:rsid w:val="00C20FAF"/>
    <w:rsid w:val="00C32F2C"/>
    <w:rsid w:val="00C345E5"/>
    <w:rsid w:val="00C35D1B"/>
    <w:rsid w:val="00C573B8"/>
    <w:rsid w:val="00C64CAD"/>
    <w:rsid w:val="00C72FEB"/>
    <w:rsid w:val="00C90DEC"/>
    <w:rsid w:val="00C91BFB"/>
    <w:rsid w:val="00C94DCB"/>
    <w:rsid w:val="00C96199"/>
    <w:rsid w:val="00C962C1"/>
    <w:rsid w:val="00CA2913"/>
    <w:rsid w:val="00CB26B2"/>
    <w:rsid w:val="00CB6B36"/>
    <w:rsid w:val="00CC6C38"/>
    <w:rsid w:val="00CC6DB0"/>
    <w:rsid w:val="00CD1ED9"/>
    <w:rsid w:val="00CD438A"/>
    <w:rsid w:val="00CE2C38"/>
    <w:rsid w:val="00CE78F8"/>
    <w:rsid w:val="00CE7D4B"/>
    <w:rsid w:val="00CF298F"/>
    <w:rsid w:val="00D01C04"/>
    <w:rsid w:val="00D02449"/>
    <w:rsid w:val="00D03462"/>
    <w:rsid w:val="00D15723"/>
    <w:rsid w:val="00D2099B"/>
    <w:rsid w:val="00D31CAB"/>
    <w:rsid w:val="00D36C29"/>
    <w:rsid w:val="00D43C34"/>
    <w:rsid w:val="00D479DC"/>
    <w:rsid w:val="00D557B7"/>
    <w:rsid w:val="00D57134"/>
    <w:rsid w:val="00D75A43"/>
    <w:rsid w:val="00D808AB"/>
    <w:rsid w:val="00D96A1E"/>
    <w:rsid w:val="00DA00E6"/>
    <w:rsid w:val="00DA42A4"/>
    <w:rsid w:val="00DA4D37"/>
    <w:rsid w:val="00DC022B"/>
    <w:rsid w:val="00DC136F"/>
    <w:rsid w:val="00DC20E9"/>
    <w:rsid w:val="00DF28AD"/>
    <w:rsid w:val="00DF65D4"/>
    <w:rsid w:val="00E005BC"/>
    <w:rsid w:val="00E10EF5"/>
    <w:rsid w:val="00E24DEC"/>
    <w:rsid w:val="00E305E6"/>
    <w:rsid w:val="00E4139E"/>
    <w:rsid w:val="00E4697F"/>
    <w:rsid w:val="00E6780D"/>
    <w:rsid w:val="00E67A07"/>
    <w:rsid w:val="00E77504"/>
    <w:rsid w:val="00E80CAA"/>
    <w:rsid w:val="00E81E16"/>
    <w:rsid w:val="00EA1C8A"/>
    <w:rsid w:val="00EA3B95"/>
    <w:rsid w:val="00EB59A4"/>
    <w:rsid w:val="00EC09DE"/>
    <w:rsid w:val="00EC36E4"/>
    <w:rsid w:val="00ED25C3"/>
    <w:rsid w:val="00ED25F5"/>
    <w:rsid w:val="00ED3E8A"/>
    <w:rsid w:val="00EE5157"/>
    <w:rsid w:val="00EF0451"/>
    <w:rsid w:val="00EF3CE5"/>
    <w:rsid w:val="00F00B6A"/>
    <w:rsid w:val="00F0141C"/>
    <w:rsid w:val="00F04A09"/>
    <w:rsid w:val="00F10DCD"/>
    <w:rsid w:val="00F11F2E"/>
    <w:rsid w:val="00F16D18"/>
    <w:rsid w:val="00F3045E"/>
    <w:rsid w:val="00F3081C"/>
    <w:rsid w:val="00F340D0"/>
    <w:rsid w:val="00F644A2"/>
    <w:rsid w:val="00F7404B"/>
    <w:rsid w:val="00F81171"/>
    <w:rsid w:val="00F8163E"/>
    <w:rsid w:val="00F85D12"/>
    <w:rsid w:val="00F90D32"/>
    <w:rsid w:val="00FA3163"/>
    <w:rsid w:val="00FB279E"/>
    <w:rsid w:val="00FB42ED"/>
    <w:rsid w:val="00FB4ECE"/>
    <w:rsid w:val="00FB6019"/>
    <w:rsid w:val="00FC41E2"/>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BCF70-B907-49B1-B759-AC4D71D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BEC"/>
    <w:rPr>
      <w:color w:val="0000FF"/>
      <w:u w:val="single"/>
    </w:rPr>
  </w:style>
  <w:style w:type="paragraph" w:customStyle="1" w:styleId="c08dispositif">
    <w:name w:val="c08dispositif"/>
    <w:basedOn w:val="Normal"/>
    <w:rsid w:val="002917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28"/>
    <w:pPr>
      <w:ind w:left="720"/>
      <w:contextualSpacing/>
    </w:pPr>
  </w:style>
  <w:style w:type="paragraph" w:customStyle="1" w:styleId="c01pointnumerotealtn">
    <w:name w:val="c01pointnumerotealtn"/>
    <w:basedOn w:val="Normal"/>
    <w:rsid w:val="00194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30"/>
    <w:rPr>
      <w:rFonts w:ascii="Segoe UI" w:hAnsi="Segoe UI" w:cs="Segoe UI"/>
      <w:sz w:val="18"/>
      <w:szCs w:val="18"/>
    </w:rPr>
  </w:style>
  <w:style w:type="paragraph" w:styleId="Header">
    <w:name w:val="header"/>
    <w:basedOn w:val="Normal"/>
    <w:link w:val="HeaderChar"/>
    <w:uiPriority w:val="99"/>
    <w:unhideWhenUsed/>
    <w:rsid w:val="004F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1"/>
  </w:style>
  <w:style w:type="paragraph" w:styleId="Footer">
    <w:name w:val="footer"/>
    <w:basedOn w:val="Normal"/>
    <w:link w:val="FooterChar"/>
    <w:uiPriority w:val="99"/>
    <w:unhideWhenUsed/>
    <w:rsid w:val="004F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1"/>
  </w:style>
  <w:style w:type="paragraph" w:customStyle="1" w:styleId="c19centre">
    <w:name w:val="c19centre"/>
    <w:basedOn w:val="Normal"/>
    <w:rsid w:val="00BC44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084960">
      <w:bodyDiv w:val="1"/>
      <w:marLeft w:val="0"/>
      <w:marRight w:val="0"/>
      <w:marTop w:val="0"/>
      <w:marBottom w:val="0"/>
      <w:divBdr>
        <w:top w:val="none" w:sz="0" w:space="0" w:color="auto"/>
        <w:left w:val="none" w:sz="0" w:space="0" w:color="auto"/>
        <w:bottom w:val="none" w:sz="0" w:space="0" w:color="auto"/>
        <w:right w:val="none" w:sz="0" w:space="0" w:color="auto"/>
      </w:divBdr>
    </w:div>
    <w:div w:id="557087044">
      <w:bodyDiv w:val="1"/>
      <w:marLeft w:val="0"/>
      <w:marRight w:val="0"/>
      <w:marTop w:val="0"/>
      <w:marBottom w:val="0"/>
      <w:divBdr>
        <w:top w:val="none" w:sz="0" w:space="0" w:color="auto"/>
        <w:left w:val="none" w:sz="0" w:space="0" w:color="auto"/>
        <w:bottom w:val="none" w:sz="0" w:space="0" w:color="auto"/>
        <w:right w:val="none" w:sz="0" w:space="0" w:color="auto"/>
      </w:divBdr>
    </w:div>
    <w:div w:id="1152984675">
      <w:bodyDiv w:val="1"/>
      <w:marLeft w:val="0"/>
      <w:marRight w:val="0"/>
      <w:marTop w:val="0"/>
      <w:marBottom w:val="0"/>
      <w:divBdr>
        <w:top w:val="none" w:sz="0" w:space="0" w:color="auto"/>
        <w:left w:val="none" w:sz="0" w:space="0" w:color="auto"/>
        <w:bottom w:val="none" w:sz="0" w:space="0" w:color="auto"/>
        <w:right w:val="none" w:sz="0" w:space="0" w:color="auto"/>
      </w:divBdr>
    </w:div>
    <w:div w:id="1683434094">
      <w:bodyDiv w:val="1"/>
      <w:marLeft w:val="0"/>
      <w:marRight w:val="0"/>
      <w:marTop w:val="0"/>
      <w:marBottom w:val="0"/>
      <w:divBdr>
        <w:top w:val="none" w:sz="0" w:space="0" w:color="auto"/>
        <w:left w:val="none" w:sz="0" w:space="0" w:color="auto"/>
        <w:bottom w:val="none" w:sz="0" w:space="0" w:color="auto"/>
        <w:right w:val="none" w:sz="0" w:space="0" w:color="auto"/>
      </w:divBdr>
    </w:div>
    <w:div w:id="20875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875</TotalTime>
  <Pages>3</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293</cp:revision>
  <cp:lastPrinted>2018-10-19T07:22:00Z</cp:lastPrinted>
  <dcterms:created xsi:type="dcterms:W3CDTF">2018-10-19T06:05:00Z</dcterms:created>
  <dcterms:modified xsi:type="dcterms:W3CDTF">2021-12-09T12:27:00Z</dcterms:modified>
</cp:coreProperties>
</file>