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Pr="006B5827"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sidRPr="006B5827">
        <w:rPr>
          <w:rFonts w:ascii="Times New Roman" w:hAnsi="Times New Roman" w:cs="Times New Roman"/>
          <w:b/>
          <w:lang w:val="ro-RO"/>
        </w:rPr>
        <w:t>Cauza</w:t>
      </w:r>
      <w:r w:rsidR="00340CE2" w:rsidRPr="006B5827">
        <w:rPr>
          <w:rFonts w:ascii="Times New Roman" w:hAnsi="Times New Roman" w:cs="Times New Roman"/>
          <w:b/>
          <w:lang w:val="ro-RO"/>
        </w:rPr>
        <w:t xml:space="preserve"> </w:t>
      </w:r>
      <w:r w:rsidR="006B5827" w:rsidRPr="006B5827">
        <w:rPr>
          <w:rFonts w:ascii="Times New Roman" w:hAnsi="Times New Roman" w:cs="Times New Roman"/>
          <w:b/>
          <w:lang w:val="ro-RO"/>
        </w:rPr>
        <w:t>C-497/20</w:t>
      </w:r>
    </w:p>
    <w:p w:rsidR="006B5827" w:rsidRDefault="006B5827" w:rsidP="008D247A">
      <w:pPr>
        <w:tabs>
          <w:tab w:val="left" w:pos="3705"/>
          <w:tab w:val="center" w:pos="5085"/>
        </w:tabs>
        <w:spacing w:before="120" w:after="120" w:line="276" w:lineRule="auto"/>
        <w:jc w:val="center"/>
        <w:rPr>
          <w:rFonts w:ascii="Times New Roman" w:hAnsi="Times New Roman" w:cs="Times New Roman"/>
          <w:lang w:val="ro-RO"/>
        </w:rPr>
      </w:pPr>
      <w:r w:rsidRPr="006B5827">
        <w:rPr>
          <w:rFonts w:ascii="Times New Roman" w:hAnsi="Times New Roman" w:cs="Times New Roman"/>
          <w:lang w:val="ro-RO"/>
        </w:rPr>
        <w:t>Corte suprema di cassazione</w:t>
      </w:r>
      <w:r>
        <w:rPr>
          <w:rFonts w:ascii="Times New Roman" w:hAnsi="Times New Roman" w:cs="Times New Roman"/>
          <w:lang w:val="ro-RO"/>
        </w:rPr>
        <w:t xml:space="preserve"> -</w:t>
      </w:r>
      <w:r w:rsidRPr="006B5827">
        <w:t xml:space="preserve"> </w:t>
      </w:r>
      <w:r w:rsidRPr="006B5827">
        <w:rPr>
          <w:rFonts w:ascii="Times New Roman" w:hAnsi="Times New Roman" w:cs="Times New Roman"/>
          <w:lang w:val="ro-RO"/>
        </w:rPr>
        <w:t>Randstad Italia SpA</w:t>
      </w:r>
      <w:r>
        <w:rPr>
          <w:rFonts w:ascii="Times New Roman" w:hAnsi="Times New Roman" w:cs="Times New Roman"/>
          <w:lang w:val="ro-RO"/>
        </w:rPr>
        <w:t>/</w:t>
      </w:r>
      <w:r w:rsidRPr="006B5827">
        <w:t xml:space="preserve"> </w:t>
      </w:r>
      <w:r w:rsidRPr="006B5827">
        <w:rPr>
          <w:rFonts w:ascii="Times New Roman" w:hAnsi="Times New Roman" w:cs="Times New Roman"/>
          <w:lang w:val="ro-RO"/>
        </w:rPr>
        <w:t>Umana SpA, Azienda USL Valle d’Aosta, IN. VA SpA, Synergie Italia agenzia per il lavoro SpA</w:t>
      </w:r>
    </w:p>
    <w:p w:rsidR="008D247A" w:rsidRPr="00B25950" w:rsidRDefault="00D557B7" w:rsidP="008D247A">
      <w:pPr>
        <w:tabs>
          <w:tab w:val="left" w:pos="3705"/>
          <w:tab w:val="center" w:pos="5085"/>
        </w:tabs>
        <w:spacing w:before="120" w:after="120" w:line="276" w:lineRule="auto"/>
        <w:jc w:val="center"/>
        <w:rPr>
          <w:rFonts w:ascii="Times New Roman" w:hAnsi="Times New Roman" w:cs="Times New Roman"/>
          <w:b/>
          <w:highlight w:val="yellow"/>
          <w:lang w:val="ro-RO"/>
        </w:rPr>
      </w:pPr>
      <w:r w:rsidRPr="00A43B1D">
        <w:rPr>
          <w:rFonts w:ascii="Times New Roman" w:hAnsi="Times New Roman" w:cs="Times New Roman"/>
          <w:b/>
          <w:lang w:val="ro-RO"/>
        </w:rPr>
        <w:t xml:space="preserve">Hotărârea </w:t>
      </w:r>
      <w:r w:rsidR="008D247A" w:rsidRPr="00A43B1D">
        <w:rPr>
          <w:rFonts w:ascii="Times New Roman" w:hAnsi="Times New Roman" w:cs="Times New Roman"/>
          <w:b/>
          <w:lang w:val="ro-RO"/>
        </w:rPr>
        <w:t>Curții (</w:t>
      </w:r>
      <w:r w:rsidR="002453B6" w:rsidRPr="00A43B1D">
        <w:rPr>
          <w:rFonts w:ascii="Times New Roman" w:hAnsi="Times New Roman" w:cs="Times New Roman"/>
          <w:b/>
          <w:lang w:val="ro-RO"/>
        </w:rPr>
        <w:t>Marea</w:t>
      </w:r>
      <w:r w:rsidR="002453B6" w:rsidRPr="002453B6">
        <w:rPr>
          <w:rFonts w:ascii="Times New Roman" w:hAnsi="Times New Roman" w:cs="Times New Roman"/>
          <w:b/>
          <w:lang w:val="ro-RO"/>
        </w:rPr>
        <w:t xml:space="preserve"> Cameră)</w:t>
      </w:r>
    </w:p>
    <w:p w:rsidR="002453B6" w:rsidRDefault="00A67A18" w:rsidP="002453B6">
      <w:pPr>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002453B6" w:rsidRPr="002453B6">
        <w:rPr>
          <w:rFonts w:ascii="Times New Roman" w:hAnsi="Times New Roman" w:cs="Times New Roman"/>
          <w:lang w:val="ro-RO"/>
        </w:rPr>
        <w:t>21 decembrie 2021</w:t>
      </w:r>
      <w:bookmarkStart w:id="0" w:name="_GoBack"/>
      <w:bookmarkEnd w:id="0"/>
    </w:p>
    <w:p w:rsidR="00E4139E" w:rsidRPr="006B5827" w:rsidRDefault="003023CF" w:rsidP="00AC5729">
      <w:pPr>
        <w:spacing w:before="120" w:after="120" w:line="276" w:lineRule="auto"/>
        <w:jc w:val="both"/>
        <w:rPr>
          <w:rFonts w:ascii="Times New Roman" w:hAnsi="Times New Roman" w:cs="Times New Roman"/>
          <w:highlight w:val="yellow"/>
          <w:lang w:val="ro-RO"/>
        </w:rPr>
      </w:pPr>
      <w:r w:rsidRPr="00B45E53">
        <w:rPr>
          <w:rFonts w:ascii="Times New Roman" w:hAnsi="Times New Roman" w:cs="Times New Roman"/>
          <w:b/>
          <w:lang w:val="ro-RO"/>
        </w:rPr>
        <w:t>Identificator</w:t>
      </w:r>
      <w:r w:rsidR="009A7338" w:rsidRPr="00B45E53">
        <w:rPr>
          <w:rFonts w:ascii="Times New Roman" w:hAnsi="Times New Roman" w:cs="Times New Roman"/>
          <w:b/>
          <w:lang w:val="ro-RO"/>
        </w:rPr>
        <w:t xml:space="preserve"> ECLI</w:t>
      </w:r>
      <w:r w:rsidR="003A5763" w:rsidRPr="00B45E53">
        <w:rPr>
          <w:rFonts w:ascii="Times New Roman" w:hAnsi="Times New Roman" w:cs="Times New Roman"/>
          <w:b/>
          <w:lang w:val="ro-RO"/>
        </w:rPr>
        <w:t>:</w:t>
      </w:r>
      <w:r w:rsidR="003A5763" w:rsidRPr="00B45E53">
        <w:rPr>
          <w:rFonts w:ascii="Times New Roman" w:hAnsi="Times New Roman" w:cs="Times New Roman"/>
        </w:rPr>
        <w:t xml:space="preserve"> </w:t>
      </w:r>
      <w:r w:rsidR="00B45E53" w:rsidRPr="00B45E53">
        <w:rPr>
          <w:rFonts w:ascii="Times New Roman" w:hAnsi="Times New Roman" w:cs="Times New Roman"/>
        </w:rPr>
        <w:t>ECLI:EU:C:2021:1037</w:t>
      </w:r>
    </w:p>
    <w:p w:rsidR="00666313" w:rsidRPr="00B45E53" w:rsidRDefault="003A5763" w:rsidP="004951D2">
      <w:pPr>
        <w:spacing w:before="120" w:after="120" w:line="276" w:lineRule="auto"/>
        <w:jc w:val="both"/>
        <w:rPr>
          <w:rFonts w:ascii="Times New Roman" w:hAnsi="Times New Roman" w:cs="Times New Roman"/>
          <w:lang w:val="ro-RO"/>
        </w:rPr>
      </w:pPr>
      <w:r w:rsidRPr="00B45E53">
        <w:rPr>
          <w:rFonts w:ascii="Times New Roman" w:hAnsi="Times New Roman" w:cs="Times New Roman"/>
          <w:b/>
          <w:lang w:val="ro-RO"/>
        </w:rPr>
        <w:t>EUR-Lex</w:t>
      </w:r>
      <w:r w:rsidRPr="00B45E53">
        <w:rPr>
          <w:rFonts w:ascii="Times New Roman" w:hAnsi="Times New Roman" w:cs="Times New Roman"/>
          <w:lang w:val="ro-RO"/>
        </w:rPr>
        <w:t xml:space="preserve">: </w:t>
      </w:r>
      <w:r w:rsidR="00B45E53" w:rsidRPr="00B45E53">
        <w:rPr>
          <w:rFonts w:ascii="Times New Roman" w:hAnsi="Times New Roman" w:cs="Times New Roman"/>
          <w:lang w:val="ro-RO"/>
        </w:rPr>
        <w:t>-</w:t>
      </w:r>
    </w:p>
    <w:p w:rsidR="004951D2" w:rsidRPr="00B45E53" w:rsidRDefault="004951D2" w:rsidP="004951D2">
      <w:pPr>
        <w:spacing w:before="120" w:after="120" w:line="276" w:lineRule="auto"/>
        <w:jc w:val="both"/>
        <w:rPr>
          <w:rFonts w:ascii="Times New Roman" w:hAnsi="Times New Roman" w:cs="Times New Roman"/>
          <w:lang w:val="ro-RO"/>
        </w:rPr>
      </w:pPr>
      <w:r w:rsidRPr="00B45E53">
        <w:rPr>
          <w:rFonts w:ascii="Times New Roman" w:hAnsi="Times New Roman" w:cs="Times New Roman"/>
          <w:b/>
          <w:lang w:val="ro-RO"/>
        </w:rPr>
        <w:t xml:space="preserve">Tip procedură: </w:t>
      </w:r>
      <w:r w:rsidRPr="00B45E53">
        <w:rPr>
          <w:rFonts w:ascii="Times New Roman" w:hAnsi="Times New Roman" w:cs="Times New Roman"/>
          <w:lang w:val="ro-RO"/>
        </w:rPr>
        <w:t>cerere pentru pronunţarea unei hotărâri preliminare</w:t>
      </w:r>
    </w:p>
    <w:p w:rsidR="00340CE2" w:rsidRPr="006B5827" w:rsidRDefault="00340CE2" w:rsidP="004951D2">
      <w:pPr>
        <w:spacing w:before="120" w:after="120" w:line="276" w:lineRule="auto"/>
        <w:jc w:val="both"/>
        <w:rPr>
          <w:rFonts w:ascii="Times New Roman" w:hAnsi="Times New Roman" w:cs="Times New Roman"/>
          <w:highlight w:val="yellow"/>
          <w:lang w:val="ro-RO"/>
        </w:rPr>
      </w:pPr>
      <w:r w:rsidRPr="00A43B1D">
        <w:rPr>
          <w:rFonts w:ascii="Times New Roman" w:hAnsi="Times New Roman" w:cs="Times New Roman"/>
          <w:b/>
          <w:lang w:val="ro-RO"/>
        </w:rPr>
        <w:t>Materie</w:t>
      </w:r>
      <w:r w:rsidRPr="00A43B1D">
        <w:rPr>
          <w:rFonts w:ascii="Times New Roman" w:hAnsi="Times New Roman" w:cs="Times New Roman"/>
          <w:lang w:val="ro-RO"/>
        </w:rPr>
        <w:t>:</w:t>
      </w:r>
      <w:r w:rsidRPr="00A43B1D">
        <w:rPr>
          <w:rFonts w:ascii="Times New Roman" w:hAnsi="Times New Roman" w:cs="Times New Roman"/>
        </w:rPr>
        <w:t xml:space="preserve"> </w:t>
      </w:r>
      <w:r w:rsidR="00A43B1D" w:rsidRPr="00A43B1D">
        <w:rPr>
          <w:rFonts w:ascii="Times New Roman" w:hAnsi="Times New Roman" w:cs="Times New Roman"/>
          <w:lang w:val="ro-RO"/>
        </w:rPr>
        <w:t>drepturi fundamentale, Carta drepturilor fundamentale ale UE, principii, obiective și sarcini ale  tratatelor</w:t>
      </w:r>
    </w:p>
    <w:p w:rsidR="00B3364A" w:rsidRPr="006B5827" w:rsidRDefault="004951D2" w:rsidP="00B3364A">
      <w:pPr>
        <w:spacing w:before="120" w:after="120" w:line="276" w:lineRule="auto"/>
        <w:jc w:val="both"/>
        <w:rPr>
          <w:rFonts w:ascii="Times New Roman" w:hAnsi="Times New Roman" w:cs="Times New Roman"/>
          <w:highlight w:val="yellow"/>
        </w:rPr>
      </w:pPr>
      <w:r w:rsidRPr="0001272E">
        <w:rPr>
          <w:rFonts w:ascii="Times New Roman" w:hAnsi="Times New Roman" w:cs="Times New Roman"/>
          <w:b/>
          <w:lang w:val="ro-RO"/>
        </w:rPr>
        <w:t>Subiect (cuvinte cheie):</w:t>
      </w:r>
      <w:r w:rsidR="00D15723" w:rsidRPr="0001272E">
        <w:rPr>
          <w:rFonts w:ascii="Times New Roman" w:hAnsi="Times New Roman" w:cs="Times New Roman"/>
        </w:rPr>
        <w:t xml:space="preserve"> </w:t>
      </w:r>
      <w:r w:rsidR="00886DBB" w:rsidRPr="0001272E">
        <w:rPr>
          <w:rFonts w:ascii="Times New Roman" w:hAnsi="Times New Roman" w:cs="Times New Roman"/>
        </w:rPr>
        <w:t>”</w:t>
      </w:r>
      <w:r w:rsidR="00664C4A" w:rsidRPr="0001272E">
        <w:rPr>
          <w:rFonts w:ascii="Times New Roman" w:hAnsi="Times New Roman" w:cs="Times New Roman"/>
          <w:lang w:val="ro-RO"/>
        </w:rPr>
        <w:t xml:space="preserve">trimitere preliminară, </w:t>
      </w:r>
      <w:r w:rsidR="0001272E" w:rsidRPr="0001272E">
        <w:rPr>
          <w:rFonts w:ascii="Times New Roman" w:hAnsi="Times New Roman" w:cs="Times New Roman"/>
          <w:lang w:val="ro-RO"/>
        </w:rPr>
        <w:t>art. 19 alin. (1) al doilea paragraf TUE, obligația statelor membre de a stabili căile de atac necesare pentru a asigura o protecție jurisdicțională efectivă în domeniile reglementate de dreptul Uniunii, achiziții publice, Directiva 89/665/CEE – art. 1 alin. (1) și (3), art. 47 din Carta drepturilor fundamentale a Uniunii Europene, hotărâre a instanței supreme din ordinea administrativă a unui stat membru prin care se declară inadmisibilă, cu încălcarea jurisprudenței Curții, calea de atac a unui ofertant exclus dintr‑o procedură de atribuire a unui contract de achiziție publică, inexistența unei căi de atac împotriva acestei hotărâri în fața instanței supreme din ordinea judiciară a acestui stat membru, principiile efectivității și echivalenței”</w:t>
      </w:r>
    </w:p>
    <w:p w:rsidR="006B5827" w:rsidRPr="006B5827" w:rsidRDefault="00D15723" w:rsidP="00D15723">
      <w:pPr>
        <w:spacing w:before="120" w:after="120" w:line="276" w:lineRule="auto"/>
        <w:jc w:val="both"/>
        <w:rPr>
          <w:rFonts w:ascii="Times New Roman" w:hAnsi="Times New Roman" w:cs="Times New Roman"/>
        </w:rPr>
      </w:pPr>
      <w:r w:rsidRPr="006B5827">
        <w:rPr>
          <w:rFonts w:ascii="Times New Roman" w:hAnsi="Times New Roman" w:cs="Times New Roman"/>
          <w:b/>
          <w:lang w:val="ro-RO"/>
        </w:rPr>
        <w:t>Instanţa de trimitere</w:t>
      </w:r>
      <w:r w:rsidRPr="006B5827">
        <w:rPr>
          <w:rFonts w:ascii="Times New Roman" w:hAnsi="Times New Roman" w:cs="Times New Roman"/>
          <w:lang w:val="ro-RO"/>
        </w:rPr>
        <w:t>:</w:t>
      </w:r>
      <w:r w:rsidRPr="006B5827">
        <w:rPr>
          <w:rFonts w:ascii="Times New Roman" w:hAnsi="Times New Roman" w:cs="Times New Roman"/>
        </w:rPr>
        <w:t xml:space="preserve"> </w:t>
      </w:r>
      <w:r w:rsidR="006B5827" w:rsidRPr="006B5827">
        <w:rPr>
          <w:rFonts w:ascii="Times New Roman" w:hAnsi="Times New Roman" w:cs="Times New Roman"/>
        </w:rPr>
        <w:t xml:space="preserve">Corte suprema di </w:t>
      </w:r>
      <w:proofErr w:type="spellStart"/>
      <w:r w:rsidR="006B5827" w:rsidRPr="006B5827">
        <w:rPr>
          <w:rFonts w:ascii="Times New Roman" w:hAnsi="Times New Roman" w:cs="Times New Roman"/>
        </w:rPr>
        <w:t>cassazione</w:t>
      </w:r>
      <w:proofErr w:type="spellEnd"/>
      <w:r w:rsidR="00A03CE9">
        <w:rPr>
          <w:rFonts w:ascii="Times New Roman" w:hAnsi="Times New Roman" w:cs="Times New Roman"/>
        </w:rPr>
        <w:t xml:space="preserve"> </w:t>
      </w:r>
      <w:r w:rsidR="00A03CE9" w:rsidRPr="00A03CE9">
        <w:rPr>
          <w:rFonts w:ascii="Times New Roman" w:hAnsi="Times New Roman" w:cs="Times New Roman"/>
        </w:rPr>
        <w:t>(</w:t>
      </w:r>
      <w:proofErr w:type="spellStart"/>
      <w:r w:rsidR="00A03CE9" w:rsidRPr="00A03CE9">
        <w:rPr>
          <w:rFonts w:ascii="Times New Roman" w:hAnsi="Times New Roman" w:cs="Times New Roman"/>
        </w:rPr>
        <w:t>Curtea</w:t>
      </w:r>
      <w:proofErr w:type="spellEnd"/>
      <w:r w:rsidR="00A03CE9" w:rsidRPr="00A03CE9">
        <w:rPr>
          <w:rFonts w:ascii="Times New Roman" w:hAnsi="Times New Roman" w:cs="Times New Roman"/>
        </w:rPr>
        <w:t xml:space="preserve"> </w:t>
      </w:r>
      <w:proofErr w:type="spellStart"/>
      <w:r w:rsidR="00A03CE9" w:rsidRPr="00A03CE9">
        <w:rPr>
          <w:rFonts w:ascii="Times New Roman" w:hAnsi="Times New Roman" w:cs="Times New Roman"/>
        </w:rPr>
        <w:t>Supremă</w:t>
      </w:r>
      <w:proofErr w:type="spellEnd"/>
      <w:r w:rsidR="00A03CE9" w:rsidRPr="00A03CE9">
        <w:rPr>
          <w:rFonts w:ascii="Times New Roman" w:hAnsi="Times New Roman" w:cs="Times New Roman"/>
        </w:rPr>
        <w:t xml:space="preserve"> de </w:t>
      </w:r>
      <w:proofErr w:type="spellStart"/>
      <w:r w:rsidR="00A03CE9" w:rsidRPr="00A03CE9">
        <w:rPr>
          <w:rFonts w:ascii="Times New Roman" w:hAnsi="Times New Roman" w:cs="Times New Roman"/>
        </w:rPr>
        <w:t>Casație</w:t>
      </w:r>
      <w:proofErr w:type="spellEnd"/>
      <w:r w:rsidR="00A03CE9" w:rsidRPr="00A03CE9">
        <w:rPr>
          <w:rFonts w:ascii="Times New Roman" w:hAnsi="Times New Roman" w:cs="Times New Roman"/>
        </w:rPr>
        <w:t>, Italia)</w:t>
      </w:r>
    </w:p>
    <w:p w:rsidR="00D15723" w:rsidRPr="006B5827" w:rsidRDefault="00D15723" w:rsidP="00D15723">
      <w:pPr>
        <w:spacing w:before="120" w:after="120" w:line="276" w:lineRule="auto"/>
        <w:jc w:val="both"/>
        <w:rPr>
          <w:rFonts w:ascii="Times New Roman" w:hAnsi="Times New Roman" w:cs="Times New Roman"/>
          <w:lang w:val="ro-RO"/>
        </w:rPr>
      </w:pPr>
      <w:r w:rsidRPr="006B5827">
        <w:rPr>
          <w:rFonts w:ascii="Times New Roman" w:hAnsi="Times New Roman" w:cs="Times New Roman"/>
          <w:b/>
          <w:lang w:val="ro-RO"/>
        </w:rPr>
        <w:t>Părţi în procedura principală</w:t>
      </w:r>
      <w:r w:rsidRPr="006B5827">
        <w:rPr>
          <w:rFonts w:ascii="Times New Roman" w:hAnsi="Times New Roman" w:cs="Times New Roman"/>
          <w:lang w:val="ro-RO"/>
        </w:rPr>
        <w:t>:</w:t>
      </w:r>
    </w:p>
    <w:p w:rsidR="006B5827" w:rsidRDefault="006B5827" w:rsidP="006B5827">
      <w:pPr>
        <w:spacing w:before="120" w:after="120" w:line="276" w:lineRule="auto"/>
        <w:jc w:val="both"/>
        <w:rPr>
          <w:rFonts w:ascii="Times New Roman" w:hAnsi="Times New Roman" w:cs="Times New Roman"/>
          <w:lang w:val="ro-RO"/>
        </w:rPr>
      </w:pPr>
      <w:r>
        <w:rPr>
          <w:rFonts w:ascii="Times New Roman" w:hAnsi="Times New Roman" w:cs="Times New Roman"/>
          <w:lang w:val="ro-RO"/>
        </w:rPr>
        <w:t>Recurentă: Randstad Italia SpA</w:t>
      </w:r>
    </w:p>
    <w:p w:rsidR="006B5827" w:rsidRDefault="006B5827" w:rsidP="006B5827">
      <w:pPr>
        <w:spacing w:before="120" w:after="120" w:line="276" w:lineRule="auto"/>
        <w:jc w:val="both"/>
        <w:rPr>
          <w:rFonts w:ascii="Times New Roman" w:hAnsi="Times New Roman" w:cs="Times New Roman"/>
          <w:lang w:val="ro-RO"/>
        </w:rPr>
      </w:pPr>
      <w:r w:rsidRPr="006B5827">
        <w:rPr>
          <w:rFonts w:ascii="Times New Roman" w:hAnsi="Times New Roman" w:cs="Times New Roman"/>
          <w:lang w:val="ro-RO"/>
        </w:rPr>
        <w:t>Intimate: Umana SpA, Azienda USL Valle d’Aosta, IN. VA SpA, Synergie Italia agenzia per il lavoro SpA</w:t>
      </w:r>
    </w:p>
    <w:p w:rsidR="00F85D12" w:rsidRPr="006B5827" w:rsidRDefault="00F85D12" w:rsidP="006B5827">
      <w:pPr>
        <w:spacing w:before="120" w:after="120" w:line="276" w:lineRule="auto"/>
        <w:jc w:val="both"/>
        <w:rPr>
          <w:rFonts w:ascii="Times New Roman" w:hAnsi="Times New Roman" w:cs="Times New Roman"/>
          <w:highlight w:val="yellow"/>
          <w:lang w:val="ro-RO"/>
        </w:rPr>
      </w:pPr>
      <w:r w:rsidRPr="00695894">
        <w:rPr>
          <w:rFonts w:ascii="Times New Roman" w:hAnsi="Times New Roman" w:cs="Times New Roman"/>
          <w:b/>
          <w:lang w:val="ro-RO"/>
        </w:rPr>
        <w:t>Obiectul cauzei:</w:t>
      </w:r>
      <w:r w:rsidR="007E76D9" w:rsidRPr="00695894">
        <w:t xml:space="preserve"> </w:t>
      </w:r>
      <w:r w:rsidR="00695894" w:rsidRPr="00695894">
        <w:rPr>
          <w:rFonts w:ascii="Times New Roman" w:hAnsi="Times New Roman" w:cs="Times New Roman"/>
          <w:lang w:val="ro-RO"/>
        </w:rPr>
        <w:t>Corte suprema di cassazione (Curtea Supremă de Casație, Italia) a formulat o cerere de decizie preliminară în litigiul dintre Randstad Italia SpA și, pe de altă parte, Umana SpA, Azienda USL Valle d'Aosta (agenția locală de sănătate din regiunea Valle d'Aosta, Italia), IN. VA SpA și Synergie Italia agenzia per il Lavoro SpA cu privire la excluderea Randstad dintr-o procedură de atribuire a unui contract de achiziție publică și la regularitatea acestei proceduri.</w:t>
      </w:r>
    </w:p>
    <w:p w:rsidR="00695894" w:rsidRDefault="00666313" w:rsidP="00134A15">
      <w:pPr>
        <w:spacing w:before="120" w:after="120" w:line="276" w:lineRule="auto"/>
        <w:jc w:val="both"/>
        <w:rPr>
          <w:rFonts w:ascii="Times New Roman" w:hAnsi="Times New Roman" w:cs="Times New Roman"/>
          <w:lang w:val="ro-RO"/>
        </w:rPr>
      </w:pPr>
      <w:r w:rsidRPr="00695894">
        <w:rPr>
          <w:rFonts w:ascii="Times New Roman" w:hAnsi="Times New Roman" w:cs="Times New Roman"/>
          <w:b/>
          <w:lang w:val="ro-RO"/>
        </w:rPr>
        <w:t>Cadrul juridic</w:t>
      </w:r>
      <w:r w:rsidRPr="00695894">
        <w:rPr>
          <w:rFonts w:ascii="Times New Roman" w:hAnsi="Times New Roman" w:cs="Times New Roman"/>
          <w:lang w:val="ro-RO"/>
        </w:rPr>
        <w:t>:</w:t>
      </w:r>
      <w:r w:rsidRPr="00695894">
        <w:t xml:space="preserve"> </w:t>
      </w:r>
      <w:r w:rsidR="00695894" w:rsidRPr="00695894">
        <w:rPr>
          <w:rFonts w:ascii="Times New Roman" w:hAnsi="Times New Roman" w:cs="Times New Roman"/>
          <w:lang w:val="ro-RO"/>
        </w:rPr>
        <w:t>art. 1, art. 2 alin. (1), art. 2a din Directiva 89/665/CEE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15C37">
        <w:rPr>
          <w:rFonts w:ascii="Times New Roman" w:hAnsi="Times New Roman" w:cs="Times New Roman"/>
          <w:b/>
          <w:lang w:val="ro-RO"/>
        </w:rPr>
        <w:t>ări</w:t>
      </w:r>
      <w:r w:rsidR="00666313">
        <w:rPr>
          <w:rFonts w:ascii="Times New Roman" w:hAnsi="Times New Roman" w:cs="Times New Roman"/>
          <w:b/>
          <w:lang w:val="ro-RO"/>
        </w:rPr>
        <w:t xml:space="preserve"> </w:t>
      </w:r>
      <w:r w:rsidR="008D247A">
        <w:rPr>
          <w:rFonts w:ascii="Times New Roman" w:hAnsi="Times New Roman" w:cs="Times New Roman"/>
          <w:b/>
          <w:lang w:val="ro-RO"/>
        </w:rPr>
        <w:t>preliminar</w:t>
      </w:r>
      <w:r w:rsidR="00815C37">
        <w:rPr>
          <w:rFonts w:ascii="Times New Roman" w:hAnsi="Times New Roman" w:cs="Times New Roman"/>
          <w:b/>
          <w:lang w:val="ro-RO"/>
        </w:rPr>
        <w:t>e</w:t>
      </w:r>
      <w:r w:rsidR="0077192E" w:rsidRPr="001374F9">
        <w:rPr>
          <w:rFonts w:ascii="Times New Roman" w:hAnsi="Times New Roman" w:cs="Times New Roman"/>
          <w:b/>
          <w:lang w:val="ro-RO"/>
        </w:rPr>
        <w:t>:</w:t>
      </w:r>
    </w:p>
    <w:p w:rsidR="007654D1" w:rsidRPr="007654D1" w:rsidRDefault="00836F0E" w:rsidP="007654D1">
      <w:pPr>
        <w:pStyle w:val="ListParagraph"/>
        <w:numPr>
          <w:ilvl w:val="0"/>
          <w:numId w:val="6"/>
        </w:num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4 </w:t>
      </w:r>
      <w:proofErr w:type="spellStart"/>
      <w:r w:rsidR="007654D1" w:rsidRPr="007654D1">
        <w:rPr>
          <w:rFonts w:ascii="Times New Roman" w:hAnsi="Times New Roman" w:cs="Times New Roman"/>
          <w:i/>
        </w:rPr>
        <w:t>alineatul</w:t>
      </w:r>
      <w:proofErr w:type="spellEnd"/>
      <w:r w:rsidR="007654D1" w:rsidRPr="007654D1">
        <w:rPr>
          <w:rFonts w:ascii="Times New Roman" w:hAnsi="Times New Roman" w:cs="Times New Roman"/>
          <w:i/>
        </w:rPr>
        <w:t xml:space="preserve"> (3)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19 </w:t>
      </w:r>
      <w:proofErr w:type="spellStart"/>
      <w:r w:rsidR="007654D1" w:rsidRPr="007654D1">
        <w:rPr>
          <w:rFonts w:ascii="Times New Roman" w:hAnsi="Times New Roman" w:cs="Times New Roman"/>
          <w:i/>
        </w:rPr>
        <w:t>alineatul</w:t>
      </w:r>
      <w:proofErr w:type="spellEnd"/>
      <w:r w:rsidR="007654D1" w:rsidRPr="007654D1">
        <w:rPr>
          <w:rFonts w:ascii="Times New Roman" w:hAnsi="Times New Roman" w:cs="Times New Roman"/>
          <w:i/>
        </w:rPr>
        <w:t xml:space="preserve"> (1) TUE,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2 </w:t>
      </w:r>
      <w:proofErr w:type="spellStart"/>
      <w:r w:rsidR="007654D1" w:rsidRPr="007654D1">
        <w:rPr>
          <w:rFonts w:ascii="Times New Roman" w:hAnsi="Times New Roman" w:cs="Times New Roman"/>
          <w:i/>
        </w:rPr>
        <w:t>alineatele</w:t>
      </w:r>
      <w:proofErr w:type="spellEnd"/>
      <w:r w:rsidR="007654D1" w:rsidRPr="007654D1">
        <w:rPr>
          <w:rFonts w:ascii="Times New Roman" w:hAnsi="Times New Roman" w:cs="Times New Roman"/>
          <w:i/>
        </w:rPr>
        <w:t xml:space="preserve"> (1)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(2)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267 TFUE, </w:t>
      </w:r>
      <w:proofErr w:type="spellStart"/>
      <w:r w:rsidR="007654D1" w:rsidRPr="007654D1">
        <w:rPr>
          <w:rFonts w:ascii="Times New Roman" w:hAnsi="Times New Roman" w:cs="Times New Roman"/>
          <w:i/>
        </w:rPr>
        <w:t>interpretate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inclusiv</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lumina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articolului</w:t>
      </w:r>
      <w:proofErr w:type="spellEnd"/>
      <w:r w:rsidR="007654D1" w:rsidRPr="007654D1">
        <w:rPr>
          <w:rFonts w:ascii="Times New Roman" w:hAnsi="Times New Roman" w:cs="Times New Roman"/>
          <w:i/>
        </w:rPr>
        <w:t xml:space="preserve"> 47 din Carta </w:t>
      </w:r>
      <w:proofErr w:type="spellStart"/>
      <w:r w:rsidR="007654D1" w:rsidRPr="007654D1">
        <w:rPr>
          <w:rFonts w:ascii="Times New Roman" w:hAnsi="Times New Roman" w:cs="Times New Roman"/>
          <w:i/>
        </w:rPr>
        <w:t>drepturilor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fundamentale</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Uniunii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Europene</w:t>
      </w:r>
      <w:proofErr w:type="spellEnd"/>
      <w:r w:rsidR="007654D1" w:rsidRPr="007654D1">
        <w:rPr>
          <w:rFonts w:ascii="Times New Roman" w:hAnsi="Times New Roman" w:cs="Times New Roman"/>
          <w:i/>
        </w:rPr>
        <w:t xml:space="preserve">, se </w:t>
      </w:r>
      <w:proofErr w:type="spellStart"/>
      <w:r w:rsidR="007654D1" w:rsidRPr="007654D1">
        <w:rPr>
          <w:rFonts w:ascii="Times New Roman" w:hAnsi="Times New Roman" w:cs="Times New Roman"/>
          <w:i/>
        </w:rPr>
        <w:t>opun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unei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practici</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interpretare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precum</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referitoare</w:t>
      </w:r>
      <w:proofErr w:type="spellEnd"/>
      <w:r w:rsidR="007654D1" w:rsidRPr="007654D1">
        <w:rPr>
          <w:rFonts w:ascii="Times New Roman" w:hAnsi="Times New Roman" w:cs="Times New Roman"/>
          <w:i/>
        </w:rPr>
        <w:t xml:space="preserve"> la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111 al </w:t>
      </w:r>
      <w:proofErr w:type="spellStart"/>
      <w:r w:rsidR="007654D1" w:rsidRPr="007654D1">
        <w:rPr>
          <w:rFonts w:ascii="Times New Roman" w:hAnsi="Times New Roman" w:cs="Times New Roman"/>
          <w:i/>
        </w:rPr>
        <w:t>optulea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paragraf</w:t>
      </w:r>
      <w:proofErr w:type="spellEnd"/>
      <w:r w:rsidR="007654D1" w:rsidRPr="007654D1">
        <w:rPr>
          <w:rFonts w:ascii="Times New Roman" w:hAnsi="Times New Roman" w:cs="Times New Roman"/>
          <w:i/>
        </w:rPr>
        <w:t xml:space="preserve"> din </w:t>
      </w:r>
      <w:proofErr w:type="spellStart"/>
      <w:r w:rsidR="007654D1" w:rsidRPr="007654D1">
        <w:rPr>
          <w:rFonts w:ascii="Times New Roman" w:hAnsi="Times New Roman" w:cs="Times New Roman"/>
          <w:i/>
        </w:rPr>
        <w:t>Constituție</w:t>
      </w:r>
      <w:proofErr w:type="spellEnd"/>
      <w:r w:rsidR="007654D1" w:rsidRPr="007654D1">
        <w:rPr>
          <w:rFonts w:ascii="Times New Roman" w:hAnsi="Times New Roman" w:cs="Times New Roman"/>
          <w:i/>
        </w:rPr>
        <w:t xml:space="preserve">, la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360 </w:t>
      </w:r>
      <w:proofErr w:type="spellStart"/>
      <w:r w:rsidR="007654D1" w:rsidRPr="007654D1">
        <w:rPr>
          <w:rFonts w:ascii="Times New Roman" w:hAnsi="Times New Roman" w:cs="Times New Roman"/>
          <w:i/>
        </w:rPr>
        <w:t>primul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paragraf</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punctul</w:t>
      </w:r>
      <w:proofErr w:type="spellEnd"/>
      <w:r w:rsidR="007654D1" w:rsidRPr="007654D1">
        <w:rPr>
          <w:rFonts w:ascii="Times New Roman" w:hAnsi="Times New Roman" w:cs="Times New Roman"/>
          <w:i/>
        </w:rPr>
        <w:t xml:space="preserve"> 1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la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362 </w:t>
      </w:r>
      <w:proofErr w:type="spellStart"/>
      <w:r w:rsidR="007654D1" w:rsidRPr="007654D1">
        <w:rPr>
          <w:rFonts w:ascii="Times New Roman" w:hAnsi="Times New Roman" w:cs="Times New Roman"/>
          <w:i/>
        </w:rPr>
        <w:t>primul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paragraf</w:t>
      </w:r>
      <w:proofErr w:type="spellEnd"/>
      <w:r w:rsidR="007654D1" w:rsidRPr="007654D1">
        <w:rPr>
          <w:rFonts w:ascii="Times New Roman" w:hAnsi="Times New Roman" w:cs="Times New Roman"/>
          <w:i/>
        </w:rPr>
        <w:t xml:space="preserve"> din </w:t>
      </w:r>
      <w:proofErr w:type="spellStart"/>
      <w:r w:rsidR="007654D1" w:rsidRPr="007654D1">
        <w:rPr>
          <w:rFonts w:ascii="Times New Roman" w:hAnsi="Times New Roman" w:cs="Times New Roman"/>
          <w:i/>
        </w:rPr>
        <w:t>Codul</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procedură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civilă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la </w:t>
      </w:r>
      <w:proofErr w:type="spellStart"/>
      <w:r w:rsidR="007654D1" w:rsidRPr="007654D1">
        <w:rPr>
          <w:rFonts w:ascii="Times New Roman" w:hAnsi="Times New Roman" w:cs="Times New Roman"/>
          <w:i/>
        </w:rPr>
        <w:t>articolul</w:t>
      </w:r>
      <w:proofErr w:type="spellEnd"/>
      <w:r w:rsidR="007654D1" w:rsidRPr="007654D1">
        <w:rPr>
          <w:rFonts w:ascii="Times New Roman" w:hAnsi="Times New Roman" w:cs="Times New Roman"/>
          <w:i/>
        </w:rPr>
        <w:t xml:space="preserve"> 110 din </w:t>
      </w:r>
      <w:proofErr w:type="spellStart"/>
      <w:r w:rsidR="007654D1" w:rsidRPr="007654D1">
        <w:rPr>
          <w:rFonts w:ascii="Times New Roman" w:hAnsi="Times New Roman" w:cs="Times New Roman"/>
          <w:i/>
        </w:rPr>
        <w:t>Codul</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procedură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administrativă</w:t>
      </w:r>
      <w:proofErr w:type="spellEnd"/>
      <w:r w:rsidR="007654D1" w:rsidRPr="007654D1">
        <w:rPr>
          <w:rFonts w:ascii="Times New Roman" w:hAnsi="Times New Roman" w:cs="Times New Roman"/>
          <w:i/>
        </w:rPr>
        <w:t xml:space="preserve"> –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măsura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care </w:t>
      </w:r>
      <w:proofErr w:type="spellStart"/>
      <w:r w:rsidR="007654D1" w:rsidRPr="007654D1">
        <w:rPr>
          <w:rFonts w:ascii="Times New Roman" w:hAnsi="Times New Roman" w:cs="Times New Roman"/>
          <w:i/>
        </w:rPr>
        <w:t>aceste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dispoziții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prevăd</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hotărârile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pronunțate</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Consiglio</w:t>
      </w:r>
      <w:proofErr w:type="spellEnd"/>
      <w:r w:rsidR="007654D1" w:rsidRPr="007654D1">
        <w:rPr>
          <w:rFonts w:ascii="Times New Roman" w:hAnsi="Times New Roman" w:cs="Times New Roman"/>
          <w:i/>
        </w:rPr>
        <w:t xml:space="preserve"> di </w:t>
      </w:r>
      <w:proofErr w:type="spellStart"/>
      <w:r w:rsidR="007654D1" w:rsidRPr="007654D1">
        <w:rPr>
          <w:rFonts w:ascii="Times New Roman" w:hAnsi="Times New Roman" w:cs="Times New Roman"/>
          <w:i/>
        </w:rPr>
        <w:t>Stato</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Consiliul</w:t>
      </w:r>
      <w:proofErr w:type="spellEnd"/>
      <w:r w:rsidR="007654D1" w:rsidRPr="007654D1">
        <w:rPr>
          <w:rFonts w:ascii="Times New Roman" w:hAnsi="Times New Roman" w:cs="Times New Roman"/>
          <w:i/>
        </w:rPr>
        <w:t xml:space="preserve"> de Stat] pot fi </w:t>
      </w:r>
      <w:proofErr w:type="spellStart"/>
      <w:r w:rsidR="007654D1" w:rsidRPr="007654D1">
        <w:rPr>
          <w:rFonts w:ascii="Times New Roman" w:hAnsi="Times New Roman" w:cs="Times New Roman"/>
          <w:i/>
        </w:rPr>
        <w:t>atacate</w:t>
      </w:r>
      <w:proofErr w:type="spellEnd"/>
      <w:r w:rsidR="007654D1" w:rsidRPr="007654D1">
        <w:rPr>
          <w:rFonts w:ascii="Times New Roman" w:hAnsi="Times New Roman" w:cs="Times New Roman"/>
          <w:i/>
        </w:rPr>
        <w:t xml:space="preserve"> cu recurs </w:t>
      </w:r>
      <w:proofErr w:type="spellStart"/>
      <w:r w:rsidR="007654D1" w:rsidRPr="007654D1">
        <w:rPr>
          <w:rFonts w:ascii="Times New Roman" w:hAnsi="Times New Roman" w:cs="Times New Roman"/>
          <w:i/>
        </w:rPr>
        <w:t>pentru</w:t>
      </w:r>
      <w:proofErr w:type="spellEnd"/>
      <w:r w:rsidR="007654D1" w:rsidRPr="007654D1">
        <w:rPr>
          <w:rFonts w:ascii="Times New Roman" w:hAnsi="Times New Roman" w:cs="Times New Roman"/>
          <w:i/>
        </w:rPr>
        <w:t xml:space="preserve"> „motive </w:t>
      </w:r>
      <w:proofErr w:type="spellStart"/>
      <w:r w:rsidR="007654D1" w:rsidRPr="007654D1">
        <w:rPr>
          <w:rFonts w:ascii="Times New Roman" w:hAnsi="Times New Roman" w:cs="Times New Roman"/>
          <w:i/>
        </w:rPr>
        <w:t>întemeiate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pe</w:t>
      </w:r>
      <w:proofErr w:type="spellEnd"/>
      <w:r w:rsidR="007654D1" w:rsidRPr="007654D1">
        <w:rPr>
          <w:rFonts w:ascii="Times New Roman" w:hAnsi="Times New Roman" w:cs="Times New Roman"/>
          <w:i/>
        </w:rPr>
        <w:t xml:space="preserve"> un conflict de </w:t>
      </w:r>
      <w:proofErr w:type="spellStart"/>
      <w:r w:rsidR="007654D1" w:rsidRPr="007654D1">
        <w:rPr>
          <w:rFonts w:ascii="Times New Roman" w:hAnsi="Times New Roman" w:cs="Times New Roman"/>
          <w:i/>
        </w:rPr>
        <w:t>competență</w:t>
      </w:r>
      <w:proofErr w:type="spellEnd"/>
      <w:r w:rsidR="007654D1" w:rsidRPr="007654D1">
        <w:rPr>
          <w:rFonts w:ascii="Times New Roman" w:hAnsi="Times New Roman" w:cs="Times New Roman"/>
          <w:i/>
        </w:rPr>
        <w:t xml:space="preserve">” –, </w:t>
      </w:r>
      <w:proofErr w:type="spellStart"/>
      <w:r w:rsidR="007654D1" w:rsidRPr="007654D1">
        <w:rPr>
          <w:rFonts w:ascii="Times New Roman" w:hAnsi="Times New Roman" w:cs="Times New Roman"/>
          <w:i/>
        </w:rPr>
        <w:t>astfel</w:t>
      </w:r>
      <w:proofErr w:type="spellEnd"/>
      <w:r w:rsidR="007654D1" w:rsidRPr="007654D1">
        <w:rPr>
          <w:rFonts w:ascii="Times New Roman" w:hAnsi="Times New Roman" w:cs="Times New Roman"/>
          <w:i/>
        </w:rPr>
        <w:t xml:space="preserve"> cum </w:t>
      </w:r>
      <w:proofErr w:type="spellStart"/>
      <w:r w:rsidR="007654D1" w:rsidRPr="007654D1">
        <w:rPr>
          <w:rFonts w:ascii="Times New Roman" w:hAnsi="Times New Roman" w:cs="Times New Roman"/>
          <w:i/>
        </w:rPr>
        <w:t>reiese</w:t>
      </w:r>
      <w:proofErr w:type="spellEnd"/>
      <w:r w:rsidR="007654D1" w:rsidRPr="007654D1">
        <w:rPr>
          <w:rFonts w:ascii="Times New Roman" w:hAnsi="Times New Roman" w:cs="Times New Roman"/>
          <w:i/>
        </w:rPr>
        <w:t xml:space="preserve"> din </w:t>
      </w:r>
      <w:proofErr w:type="spellStart"/>
      <w:r w:rsidR="007654D1" w:rsidRPr="007654D1">
        <w:rPr>
          <w:rFonts w:ascii="Times New Roman" w:hAnsi="Times New Roman" w:cs="Times New Roman"/>
          <w:i/>
        </w:rPr>
        <w:t>hotărârea</w:t>
      </w:r>
      <w:proofErr w:type="spellEnd"/>
      <w:r w:rsidR="007654D1" w:rsidRPr="007654D1">
        <w:rPr>
          <w:rFonts w:ascii="Times New Roman" w:hAnsi="Times New Roman" w:cs="Times New Roman"/>
          <w:i/>
        </w:rPr>
        <w:t xml:space="preserve"> Corte </w:t>
      </w:r>
      <w:proofErr w:type="spellStart"/>
      <w:r w:rsidR="007654D1" w:rsidRPr="007654D1">
        <w:rPr>
          <w:rFonts w:ascii="Times New Roman" w:hAnsi="Times New Roman" w:cs="Times New Roman"/>
          <w:i/>
        </w:rPr>
        <w:t>costituzionale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Curtea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Constituțională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nr</w:t>
      </w:r>
      <w:proofErr w:type="spellEnd"/>
      <w:r w:rsidR="007654D1" w:rsidRPr="007654D1">
        <w:rPr>
          <w:rFonts w:ascii="Times New Roman" w:hAnsi="Times New Roman" w:cs="Times New Roman"/>
          <w:i/>
        </w:rPr>
        <w:t xml:space="preserve">. 6/2018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din </w:t>
      </w:r>
      <w:proofErr w:type="spellStart"/>
      <w:r w:rsidR="007654D1" w:rsidRPr="007654D1">
        <w:rPr>
          <w:rFonts w:ascii="Times New Roman" w:hAnsi="Times New Roman" w:cs="Times New Roman"/>
          <w:i/>
        </w:rPr>
        <w:t>jurisprudența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națională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ulterioară</w:t>
      </w:r>
      <w:proofErr w:type="spellEnd"/>
      <w:r w:rsidR="007654D1" w:rsidRPr="007654D1">
        <w:rPr>
          <w:rFonts w:ascii="Times New Roman" w:hAnsi="Times New Roman" w:cs="Times New Roman"/>
          <w:i/>
        </w:rPr>
        <w:t xml:space="preserve"> care a </w:t>
      </w:r>
      <w:proofErr w:type="spellStart"/>
      <w:r w:rsidR="007654D1" w:rsidRPr="007654D1">
        <w:rPr>
          <w:rFonts w:ascii="Times New Roman" w:hAnsi="Times New Roman" w:cs="Times New Roman"/>
          <w:i/>
        </w:rPr>
        <w:t>modificat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orientarea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anterioară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potrivit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căreia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calea</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atac</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recursului</w:t>
      </w:r>
      <w:proofErr w:type="spellEnd"/>
      <w:r w:rsidR="007654D1" w:rsidRPr="007654D1">
        <w:rPr>
          <w:rFonts w:ascii="Times New Roman" w:hAnsi="Times New Roman" w:cs="Times New Roman"/>
          <w:i/>
        </w:rPr>
        <w:t xml:space="preserve">, sub </w:t>
      </w:r>
      <w:proofErr w:type="spellStart"/>
      <w:r w:rsidR="007654D1" w:rsidRPr="007654D1">
        <w:rPr>
          <w:rFonts w:ascii="Times New Roman" w:hAnsi="Times New Roman" w:cs="Times New Roman"/>
          <w:i/>
        </w:rPr>
        <w:t>aspectul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așa-numitei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necompetențe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jurisdicționale</w:t>
      </w:r>
      <w:proofErr w:type="spellEnd"/>
      <w:r w:rsidR="007654D1" w:rsidRPr="007654D1">
        <w:rPr>
          <w:rFonts w:ascii="Times New Roman" w:hAnsi="Times New Roman" w:cs="Times New Roman"/>
          <w:i/>
        </w:rPr>
        <w:t xml:space="preserve">”, nu </w:t>
      </w:r>
      <w:proofErr w:type="spellStart"/>
      <w:r w:rsidR="007654D1" w:rsidRPr="007654D1">
        <w:rPr>
          <w:rFonts w:ascii="Times New Roman" w:hAnsi="Times New Roman" w:cs="Times New Roman"/>
          <w:i/>
        </w:rPr>
        <w:t>poate</w:t>
      </w:r>
      <w:proofErr w:type="spellEnd"/>
      <w:r w:rsidR="007654D1" w:rsidRPr="007654D1">
        <w:rPr>
          <w:rFonts w:ascii="Times New Roman" w:hAnsi="Times New Roman" w:cs="Times New Roman"/>
          <w:i/>
        </w:rPr>
        <w:t xml:space="preserve"> fi </w:t>
      </w:r>
      <w:proofErr w:type="spellStart"/>
      <w:r w:rsidR="007654D1" w:rsidRPr="007654D1">
        <w:rPr>
          <w:rFonts w:ascii="Times New Roman" w:hAnsi="Times New Roman" w:cs="Times New Roman"/>
          <w:i/>
        </w:rPr>
        <w:t>utilizată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pentru</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atacarea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hotărârilor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Consiglio</w:t>
      </w:r>
      <w:proofErr w:type="spellEnd"/>
      <w:r w:rsidR="007654D1" w:rsidRPr="007654D1">
        <w:rPr>
          <w:rFonts w:ascii="Times New Roman" w:hAnsi="Times New Roman" w:cs="Times New Roman"/>
          <w:i/>
        </w:rPr>
        <w:t xml:space="preserve"> di </w:t>
      </w:r>
      <w:proofErr w:type="spellStart"/>
      <w:r w:rsidR="007654D1" w:rsidRPr="007654D1">
        <w:rPr>
          <w:rFonts w:ascii="Times New Roman" w:hAnsi="Times New Roman" w:cs="Times New Roman"/>
          <w:i/>
        </w:rPr>
        <w:t>Stato</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Consiliul</w:t>
      </w:r>
      <w:proofErr w:type="spellEnd"/>
      <w:r w:rsidR="007654D1" w:rsidRPr="007654D1">
        <w:rPr>
          <w:rFonts w:ascii="Times New Roman" w:hAnsi="Times New Roman" w:cs="Times New Roman"/>
          <w:i/>
        </w:rPr>
        <w:t xml:space="preserve"> de Stat] </w:t>
      </w:r>
      <w:proofErr w:type="spellStart"/>
      <w:r w:rsidR="007654D1" w:rsidRPr="007654D1">
        <w:rPr>
          <w:rFonts w:ascii="Times New Roman" w:hAnsi="Times New Roman" w:cs="Times New Roman"/>
          <w:i/>
        </w:rPr>
        <w:t>prin</w:t>
      </w:r>
      <w:proofErr w:type="spellEnd"/>
      <w:r w:rsidR="007654D1" w:rsidRPr="007654D1">
        <w:rPr>
          <w:rFonts w:ascii="Times New Roman" w:hAnsi="Times New Roman" w:cs="Times New Roman"/>
          <w:i/>
        </w:rPr>
        <w:t xml:space="preserve"> care se face </w:t>
      </w:r>
      <w:proofErr w:type="spellStart"/>
      <w:r w:rsidR="007654D1" w:rsidRPr="007654D1">
        <w:rPr>
          <w:rFonts w:ascii="Times New Roman" w:hAnsi="Times New Roman" w:cs="Times New Roman"/>
          <w:i/>
        </w:rPr>
        <w:t>aplicarea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practici</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interpretare</w:t>
      </w:r>
      <w:proofErr w:type="spellEnd"/>
      <w:r w:rsidR="007654D1" w:rsidRPr="007654D1">
        <w:rPr>
          <w:rFonts w:ascii="Times New Roman" w:hAnsi="Times New Roman" w:cs="Times New Roman"/>
          <w:i/>
        </w:rPr>
        <w:t xml:space="preserve"> elaborate </w:t>
      </w:r>
      <w:proofErr w:type="spellStart"/>
      <w:r w:rsidR="007654D1" w:rsidRPr="007654D1">
        <w:rPr>
          <w:rFonts w:ascii="Times New Roman" w:hAnsi="Times New Roman" w:cs="Times New Roman"/>
          <w:i/>
        </w:rPr>
        <w:t>pe</w:t>
      </w:r>
      <w:proofErr w:type="spellEnd"/>
      <w:r w:rsidR="007654D1" w:rsidRPr="007654D1">
        <w:rPr>
          <w:rFonts w:ascii="Times New Roman" w:hAnsi="Times New Roman" w:cs="Times New Roman"/>
          <w:i/>
        </w:rPr>
        <w:t xml:space="preserve"> plan </w:t>
      </w:r>
      <w:proofErr w:type="spellStart"/>
      <w:r w:rsidR="007654D1" w:rsidRPr="007654D1">
        <w:rPr>
          <w:rFonts w:ascii="Times New Roman" w:hAnsi="Times New Roman" w:cs="Times New Roman"/>
          <w:i/>
        </w:rPr>
        <w:t>național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care </w:t>
      </w:r>
      <w:proofErr w:type="spellStart"/>
      <w:r w:rsidR="007654D1" w:rsidRPr="007654D1">
        <w:rPr>
          <w:rFonts w:ascii="Times New Roman" w:hAnsi="Times New Roman" w:cs="Times New Roman"/>
          <w:i/>
        </w:rPr>
        <w:t>sunt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contrare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hotărâri</w:t>
      </w:r>
      <w:proofErr w:type="spellEnd"/>
      <w:r w:rsidR="007654D1" w:rsidRPr="007654D1">
        <w:rPr>
          <w:rFonts w:ascii="Times New Roman" w:hAnsi="Times New Roman" w:cs="Times New Roman"/>
          <w:i/>
        </w:rPr>
        <w:t xml:space="preserve"> ale </w:t>
      </w:r>
      <w:proofErr w:type="spellStart"/>
      <w:r w:rsidR="007654D1" w:rsidRPr="007654D1">
        <w:rPr>
          <w:rFonts w:ascii="Times New Roman" w:hAnsi="Times New Roman" w:cs="Times New Roman"/>
          <w:i/>
        </w:rPr>
        <w:t>Curții</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Justiție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domenii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reglementate</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dreptul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Uniunii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Europene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speță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materia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atribuirii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contractelor</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achiziții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publice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care </w:t>
      </w:r>
      <w:proofErr w:type="spellStart"/>
      <w:r w:rsidR="007654D1" w:rsidRPr="007654D1">
        <w:rPr>
          <w:rFonts w:ascii="Times New Roman" w:hAnsi="Times New Roman" w:cs="Times New Roman"/>
          <w:i/>
        </w:rPr>
        <w:t>statele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membre</w:t>
      </w:r>
      <w:proofErr w:type="spellEnd"/>
      <w:r w:rsidR="007654D1" w:rsidRPr="007654D1">
        <w:rPr>
          <w:rFonts w:ascii="Times New Roman" w:hAnsi="Times New Roman" w:cs="Times New Roman"/>
          <w:i/>
        </w:rPr>
        <w:t xml:space="preserve"> au </w:t>
      </w:r>
      <w:proofErr w:type="spellStart"/>
      <w:r w:rsidR="007654D1" w:rsidRPr="007654D1">
        <w:rPr>
          <w:rFonts w:ascii="Times New Roman" w:hAnsi="Times New Roman" w:cs="Times New Roman"/>
          <w:i/>
        </w:rPr>
        <w:t>renunțat</w:t>
      </w:r>
      <w:proofErr w:type="spellEnd"/>
      <w:r w:rsidR="007654D1" w:rsidRPr="007654D1">
        <w:rPr>
          <w:rFonts w:ascii="Times New Roman" w:hAnsi="Times New Roman" w:cs="Times New Roman"/>
          <w:i/>
        </w:rPr>
        <w:t xml:space="preserve"> la </w:t>
      </w:r>
      <w:proofErr w:type="spellStart"/>
      <w:r w:rsidR="007654D1" w:rsidRPr="007654D1">
        <w:rPr>
          <w:rFonts w:ascii="Times New Roman" w:hAnsi="Times New Roman" w:cs="Times New Roman"/>
          <w:i/>
        </w:rPr>
        <w:t>exercitarea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puterii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suverane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într</w:t>
      </w:r>
      <w:proofErr w:type="spellEnd"/>
      <w:r w:rsidR="007654D1" w:rsidRPr="007654D1">
        <w:rPr>
          <w:rFonts w:ascii="Times New Roman" w:hAnsi="Times New Roman" w:cs="Times New Roman"/>
          <w:i/>
        </w:rPr>
        <w:t xml:space="preserve">-un </w:t>
      </w:r>
      <w:proofErr w:type="spellStart"/>
      <w:r w:rsidR="007654D1" w:rsidRPr="007654D1">
        <w:rPr>
          <w:rFonts w:ascii="Times New Roman" w:hAnsi="Times New Roman" w:cs="Times New Roman"/>
          <w:i/>
        </w:rPr>
        <w:t>sens</w:t>
      </w:r>
      <w:proofErr w:type="spellEnd"/>
      <w:r w:rsidR="007654D1" w:rsidRPr="007654D1">
        <w:rPr>
          <w:rFonts w:ascii="Times New Roman" w:hAnsi="Times New Roman" w:cs="Times New Roman"/>
          <w:i/>
        </w:rPr>
        <w:t xml:space="preserve"> care </w:t>
      </w:r>
      <w:proofErr w:type="spellStart"/>
      <w:r w:rsidR="007654D1" w:rsidRPr="007654D1">
        <w:rPr>
          <w:rFonts w:ascii="Times New Roman" w:hAnsi="Times New Roman" w:cs="Times New Roman"/>
          <w:i/>
        </w:rPr>
        <w:t>să</w:t>
      </w:r>
      <w:proofErr w:type="spellEnd"/>
      <w:r w:rsidR="007654D1" w:rsidRPr="007654D1">
        <w:rPr>
          <w:rFonts w:ascii="Times New Roman" w:hAnsi="Times New Roman" w:cs="Times New Roman"/>
          <w:i/>
        </w:rPr>
        <w:t xml:space="preserve"> fie </w:t>
      </w:r>
      <w:proofErr w:type="spellStart"/>
      <w:r w:rsidR="007654D1" w:rsidRPr="007654D1">
        <w:rPr>
          <w:rFonts w:ascii="Times New Roman" w:hAnsi="Times New Roman" w:cs="Times New Roman"/>
          <w:i/>
        </w:rPr>
        <w:t>incompatibil</w:t>
      </w:r>
      <w:proofErr w:type="spellEnd"/>
      <w:r w:rsidR="007654D1" w:rsidRPr="007654D1">
        <w:rPr>
          <w:rFonts w:ascii="Times New Roman" w:hAnsi="Times New Roman" w:cs="Times New Roman"/>
          <w:i/>
        </w:rPr>
        <w:t xml:space="preserve"> cu </w:t>
      </w:r>
      <w:proofErr w:type="spellStart"/>
      <w:r w:rsidR="007654D1" w:rsidRPr="007654D1">
        <w:rPr>
          <w:rFonts w:ascii="Times New Roman" w:hAnsi="Times New Roman" w:cs="Times New Roman"/>
          <w:i/>
        </w:rPr>
        <w:t>acest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drept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având</w:t>
      </w:r>
      <w:proofErr w:type="spellEnd"/>
      <w:r w:rsidR="007654D1" w:rsidRPr="007654D1">
        <w:rPr>
          <w:rFonts w:ascii="Times New Roman" w:hAnsi="Times New Roman" w:cs="Times New Roman"/>
          <w:i/>
        </w:rPr>
        <w:t xml:space="preserve"> ca </w:t>
      </w:r>
      <w:proofErr w:type="spellStart"/>
      <w:r w:rsidR="007654D1" w:rsidRPr="007654D1">
        <w:rPr>
          <w:rFonts w:ascii="Times New Roman" w:hAnsi="Times New Roman" w:cs="Times New Roman"/>
          <w:i/>
        </w:rPr>
        <w:t>efect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determinarea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consolidării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lastRenderedPageBreak/>
        <w:t>încălcărilor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dreptului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comunitar</w:t>
      </w:r>
      <w:proofErr w:type="spellEnd"/>
      <w:r w:rsidR="007654D1" w:rsidRPr="007654D1">
        <w:rPr>
          <w:rFonts w:ascii="Times New Roman" w:hAnsi="Times New Roman" w:cs="Times New Roman"/>
          <w:i/>
        </w:rPr>
        <w:t xml:space="preserve"> care </w:t>
      </w:r>
      <w:proofErr w:type="spellStart"/>
      <w:r w:rsidR="007654D1" w:rsidRPr="007654D1">
        <w:rPr>
          <w:rFonts w:ascii="Times New Roman" w:hAnsi="Times New Roman" w:cs="Times New Roman"/>
          <w:i/>
        </w:rPr>
        <w:t>ar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putea</w:t>
      </w:r>
      <w:proofErr w:type="spellEnd"/>
      <w:r w:rsidR="007654D1" w:rsidRPr="007654D1">
        <w:rPr>
          <w:rFonts w:ascii="Times New Roman" w:hAnsi="Times New Roman" w:cs="Times New Roman"/>
          <w:i/>
        </w:rPr>
        <w:t xml:space="preserve"> fi </w:t>
      </w:r>
      <w:proofErr w:type="spellStart"/>
      <w:r w:rsidR="007654D1" w:rsidRPr="007654D1">
        <w:rPr>
          <w:rFonts w:ascii="Times New Roman" w:hAnsi="Times New Roman" w:cs="Times New Roman"/>
          <w:i/>
        </w:rPr>
        <w:t>corectate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prin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intermediul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căii</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atac</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menționate</w:t>
      </w:r>
      <w:proofErr w:type="spellEnd"/>
      <w:r w:rsidR="007654D1" w:rsidRPr="007654D1">
        <w:rPr>
          <w:rFonts w:ascii="Times New Roman" w:hAnsi="Times New Roman" w:cs="Times New Roman"/>
          <w:i/>
        </w:rPr>
        <w:t xml:space="preserve"> anterior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afectarea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aplicării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uniforme</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dreptului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Uniunii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protecției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jurisdicționale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efective</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drepturilor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subiective</w:t>
      </w:r>
      <w:proofErr w:type="spellEnd"/>
      <w:r w:rsidR="007654D1" w:rsidRPr="007654D1">
        <w:rPr>
          <w:rFonts w:ascii="Times New Roman" w:hAnsi="Times New Roman" w:cs="Times New Roman"/>
          <w:i/>
        </w:rPr>
        <w:t xml:space="preserve"> cu </w:t>
      </w:r>
      <w:proofErr w:type="spellStart"/>
      <w:r w:rsidR="007654D1" w:rsidRPr="007654D1">
        <w:rPr>
          <w:rFonts w:ascii="Times New Roman" w:hAnsi="Times New Roman" w:cs="Times New Roman"/>
          <w:i/>
        </w:rPr>
        <w:t>relevanță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comunitară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contrar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cerinței</w:t>
      </w:r>
      <w:proofErr w:type="spellEnd"/>
      <w:r w:rsidR="007654D1" w:rsidRPr="007654D1">
        <w:rPr>
          <w:rFonts w:ascii="Times New Roman" w:hAnsi="Times New Roman" w:cs="Times New Roman"/>
          <w:i/>
        </w:rPr>
        <w:t xml:space="preserve"> ca </w:t>
      </w:r>
      <w:proofErr w:type="spellStart"/>
      <w:r w:rsidR="007654D1" w:rsidRPr="007654D1">
        <w:rPr>
          <w:rFonts w:ascii="Times New Roman" w:hAnsi="Times New Roman" w:cs="Times New Roman"/>
          <w:i/>
        </w:rPr>
        <w:t>dreptul</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Uniunii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să</w:t>
      </w:r>
      <w:proofErr w:type="spellEnd"/>
      <w:r w:rsidR="007654D1" w:rsidRPr="007654D1">
        <w:rPr>
          <w:rFonts w:ascii="Times New Roman" w:hAnsi="Times New Roman" w:cs="Times New Roman"/>
          <w:i/>
        </w:rPr>
        <w:t xml:space="preserve"> fie </w:t>
      </w:r>
      <w:proofErr w:type="spellStart"/>
      <w:r w:rsidR="007654D1" w:rsidRPr="007654D1">
        <w:rPr>
          <w:rFonts w:ascii="Times New Roman" w:hAnsi="Times New Roman" w:cs="Times New Roman"/>
          <w:i/>
        </w:rPr>
        <w:t>aplicat</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deplin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și</w:t>
      </w:r>
      <w:proofErr w:type="spellEnd"/>
      <w:r w:rsidR="007654D1" w:rsidRPr="007654D1">
        <w:rPr>
          <w:rFonts w:ascii="Times New Roman" w:hAnsi="Times New Roman" w:cs="Times New Roman"/>
          <w:i/>
        </w:rPr>
        <w:t xml:space="preserve"> rapid de </w:t>
      </w:r>
      <w:proofErr w:type="spellStart"/>
      <w:r w:rsidR="007654D1" w:rsidRPr="007654D1">
        <w:rPr>
          <w:rFonts w:ascii="Times New Roman" w:hAnsi="Times New Roman" w:cs="Times New Roman"/>
          <w:i/>
        </w:rPr>
        <w:t>fiecare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instanță</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mod </w:t>
      </w:r>
      <w:proofErr w:type="spellStart"/>
      <w:r w:rsidR="007654D1" w:rsidRPr="007654D1">
        <w:rPr>
          <w:rFonts w:ascii="Times New Roman" w:hAnsi="Times New Roman" w:cs="Times New Roman"/>
          <w:i/>
        </w:rPr>
        <w:t>obligatoriu</w:t>
      </w:r>
      <w:proofErr w:type="spellEnd"/>
      <w:r w:rsidR="007654D1" w:rsidRPr="007654D1">
        <w:rPr>
          <w:rFonts w:ascii="Times New Roman" w:hAnsi="Times New Roman" w:cs="Times New Roman"/>
          <w:i/>
        </w:rPr>
        <w:t xml:space="preserve"> conform cu </w:t>
      </w:r>
      <w:proofErr w:type="spellStart"/>
      <w:r w:rsidR="007654D1" w:rsidRPr="007654D1">
        <w:rPr>
          <w:rFonts w:ascii="Times New Roman" w:hAnsi="Times New Roman" w:cs="Times New Roman"/>
          <w:i/>
        </w:rPr>
        <w:t>interpretarea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corectă</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acestuia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dată</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Curtea</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Justiție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ținând</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seama</w:t>
      </w:r>
      <w:proofErr w:type="spellEnd"/>
      <w:r w:rsidR="007654D1" w:rsidRPr="007654D1">
        <w:rPr>
          <w:rFonts w:ascii="Times New Roman" w:hAnsi="Times New Roman" w:cs="Times New Roman"/>
          <w:i/>
        </w:rPr>
        <w:t xml:space="preserve"> de </w:t>
      </w:r>
      <w:proofErr w:type="spellStart"/>
      <w:r w:rsidR="007654D1" w:rsidRPr="007654D1">
        <w:rPr>
          <w:rFonts w:ascii="Times New Roman" w:hAnsi="Times New Roman" w:cs="Times New Roman"/>
          <w:i/>
        </w:rPr>
        <w:t>limitele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autonomiei</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procedurale</w:t>
      </w:r>
      <w:proofErr w:type="spellEnd"/>
      <w:r w:rsidR="007654D1" w:rsidRPr="007654D1">
        <w:rPr>
          <w:rFonts w:ascii="Times New Roman" w:hAnsi="Times New Roman" w:cs="Times New Roman"/>
          <w:i/>
        </w:rPr>
        <w:t xml:space="preserve">” a </w:t>
      </w:r>
      <w:proofErr w:type="spellStart"/>
      <w:r w:rsidR="007654D1" w:rsidRPr="007654D1">
        <w:rPr>
          <w:rFonts w:ascii="Times New Roman" w:hAnsi="Times New Roman" w:cs="Times New Roman"/>
          <w:i/>
        </w:rPr>
        <w:t>statelor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membre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în</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ceea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privește</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configurarea</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instituțiilor</w:t>
      </w:r>
      <w:proofErr w:type="spellEnd"/>
      <w:r w:rsidR="007654D1" w:rsidRPr="007654D1">
        <w:rPr>
          <w:rFonts w:ascii="Times New Roman" w:hAnsi="Times New Roman" w:cs="Times New Roman"/>
          <w:i/>
        </w:rPr>
        <w:t xml:space="preserve"> </w:t>
      </w:r>
      <w:proofErr w:type="spellStart"/>
      <w:r w:rsidR="007654D1" w:rsidRPr="007654D1">
        <w:rPr>
          <w:rFonts w:ascii="Times New Roman" w:hAnsi="Times New Roman" w:cs="Times New Roman"/>
          <w:i/>
        </w:rPr>
        <w:t>procedurale</w:t>
      </w:r>
      <w:proofErr w:type="spellEnd"/>
      <w:r w:rsidR="007654D1" w:rsidRPr="007654D1">
        <w:rPr>
          <w:rFonts w:ascii="Times New Roman" w:hAnsi="Times New Roman" w:cs="Times New Roman"/>
          <w:i/>
        </w:rPr>
        <w:t>?</w:t>
      </w:r>
    </w:p>
    <w:p w:rsidR="007654D1" w:rsidRPr="007654D1" w:rsidRDefault="007654D1" w:rsidP="007654D1">
      <w:pPr>
        <w:pStyle w:val="ListParagraph"/>
        <w:spacing w:before="120" w:after="120" w:line="276" w:lineRule="auto"/>
        <w:jc w:val="both"/>
        <w:rPr>
          <w:rFonts w:ascii="Times New Roman" w:hAnsi="Times New Roman" w:cs="Times New Roman"/>
          <w:i/>
        </w:rPr>
      </w:pPr>
    </w:p>
    <w:p w:rsidR="007654D1" w:rsidRPr="007654D1" w:rsidRDefault="007654D1" w:rsidP="007654D1">
      <w:pPr>
        <w:pStyle w:val="ListParagraph"/>
        <w:numPr>
          <w:ilvl w:val="0"/>
          <w:numId w:val="6"/>
        </w:numPr>
        <w:spacing w:before="120" w:after="120" w:line="276" w:lineRule="auto"/>
        <w:jc w:val="both"/>
        <w:rPr>
          <w:rFonts w:ascii="Times New Roman" w:hAnsi="Times New Roman" w:cs="Times New Roman"/>
          <w:i/>
        </w:rPr>
      </w:pPr>
      <w:proofErr w:type="spellStart"/>
      <w:r w:rsidRPr="007654D1">
        <w:rPr>
          <w:rFonts w:ascii="Times New Roman" w:hAnsi="Times New Roman" w:cs="Times New Roman"/>
          <w:i/>
        </w:rPr>
        <w:t>Articolul</w:t>
      </w:r>
      <w:proofErr w:type="spellEnd"/>
      <w:r w:rsidRPr="007654D1">
        <w:rPr>
          <w:rFonts w:ascii="Times New Roman" w:hAnsi="Times New Roman" w:cs="Times New Roman"/>
          <w:i/>
        </w:rPr>
        <w:t xml:space="preserve"> 4 </w:t>
      </w:r>
      <w:proofErr w:type="spellStart"/>
      <w:r w:rsidRPr="007654D1">
        <w:rPr>
          <w:rFonts w:ascii="Times New Roman" w:hAnsi="Times New Roman" w:cs="Times New Roman"/>
          <w:i/>
        </w:rPr>
        <w:t>alineatul</w:t>
      </w:r>
      <w:proofErr w:type="spellEnd"/>
      <w:r w:rsidRPr="007654D1">
        <w:rPr>
          <w:rFonts w:ascii="Times New Roman" w:hAnsi="Times New Roman" w:cs="Times New Roman"/>
          <w:i/>
        </w:rPr>
        <w:t xml:space="preserve"> (3)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w:t>
      </w:r>
      <w:proofErr w:type="spellEnd"/>
      <w:r w:rsidRPr="007654D1">
        <w:rPr>
          <w:rFonts w:ascii="Times New Roman" w:hAnsi="Times New Roman" w:cs="Times New Roman"/>
          <w:i/>
        </w:rPr>
        <w:t xml:space="preserve"> 19 </w:t>
      </w:r>
      <w:proofErr w:type="spellStart"/>
      <w:r w:rsidRPr="007654D1">
        <w:rPr>
          <w:rFonts w:ascii="Times New Roman" w:hAnsi="Times New Roman" w:cs="Times New Roman"/>
          <w:i/>
        </w:rPr>
        <w:t>alineatul</w:t>
      </w:r>
      <w:proofErr w:type="spellEnd"/>
      <w:r w:rsidRPr="007654D1">
        <w:rPr>
          <w:rFonts w:ascii="Times New Roman" w:hAnsi="Times New Roman" w:cs="Times New Roman"/>
          <w:i/>
        </w:rPr>
        <w:t xml:space="preserve"> (1) TUE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w:t>
      </w:r>
      <w:proofErr w:type="spellEnd"/>
      <w:r w:rsidRPr="007654D1">
        <w:rPr>
          <w:rFonts w:ascii="Times New Roman" w:hAnsi="Times New Roman" w:cs="Times New Roman"/>
          <w:i/>
        </w:rPr>
        <w:t xml:space="preserve"> 267 TFUE, </w:t>
      </w:r>
      <w:proofErr w:type="spellStart"/>
      <w:r w:rsidRPr="007654D1">
        <w:rPr>
          <w:rFonts w:ascii="Times New Roman" w:hAnsi="Times New Roman" w:cs="Times New Roman"/>
          <w:i/>
        </w:rPr>
        <w:t>interpretate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inclusiv</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lumina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articolului</w:t>
      </w:r>
      <w:proofErr w:type="spellEnd"/>
      <w:r w:rsidRPr="007654D1">
        <w:rPr>
          <w:rFonts w:ascii="Times New Roman" w:hAnsi="Times New Roman" w:cs="Times New Roman"/>
          <w:i/>
        </w:rPr>
        <w:t xml:space="preserve"> 47 din Carta </w:t>
      </w:r>
      <w:proofErr w:type="spellStart"/>
      <w:r w:rsidRPr="007654D1">
        <w:rPr>
          <w:rFonts w:ascii="Times New Roman" w:hAnsi="Times New Roman" w:cs="Times New Roman"/>
          <w:i/>
        </w:rPr>
        <w:t>drepturilor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fundamentale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Europene</w:t>
      </w:r>
      <w:proofErr w:type="spellEnd"/>
      <w:r w:rsidRPr="007654D1">
        <w:rPr>
          <w:rFonts w:ascii="Times New Roman" w:hAnsi="Times New Roman" w:cs="Times New Roman"/>
          <w:i/>
        </w:rPr>
        <w:t xml:space="preserve">, se </w:t>
      </w:r>
      <w:proofErr w:type="spellStart"/>
      <w:r w:rsidRPr="007654D1">
        <w:rPr>
          <w:rFonts w:ascii="Times New Roman" w:hAnsi="Times New Roman" w:cs="Times New Roman"/>
          <w:i/>
        </w:rPr>
        <w:t>opun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interpretării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aplicării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articolului</w:t>
      </w:r>
      <w:proofErr w:type="spellEnd"/>
      <w:r w:rsidRPr="007654D1">
        <w:rPr>
          <w:rFonts w:ascii="Times New Roman" w:hAnsi="Times New Roman" w:cs="Times New Roman"/>
          <w:i/>
        </w:rPr>
        <w:t xml:space="preserve"> 111 al </w:t>
      </w:r>
      <w:proofErr w:type="spellStart"/>
      <w:r w:rsidRPr="007654D1">
        <w:rPr>
          <w:rFonts w:ascii="Times New Roman" w:hAnsi="Times New Roman" w:cs="Times New Roman"/>
          <w:i/>
        </w:rPr>
        <w:t>optulea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paragraf</w:t>
      </w:r>
      <w:proofErr w:type="spellEnd"/>
      <w:r w:rsidRPr="007654D1">
        <w:rPr>
          <w:rFonts w:ascii="Times New Roman" w:hAnsi="Times New Roman" w:cs="Times New Roman"/>
          <w:i/>
        </w:rPr>
        <w:t xml:space="preserve"> din </w:t>
      </w:r>
      <w:proofErr w:type="spellStart"/>
      <w:r w:rsidRPr="007654D1">
        <w:rPr>
          <w:rFonts w:ascii="Times New Roman" w:hAnsi="Times New Roman" w:cs="Times New Roman"/>
          <w:i/>
        </w:rPr>
        <w:t>Constituție</w:t>
      </w:r>
      <w:proofErr w:type="spellEnd"/>
      <w:r w:rsidRPr="007654D1">
        <w:rPr>
          <w:rFonts w:ascii="Times New Roman" w:hAnsi="Times New Roman" w:cs="Times New Roman"/>
          <w:i/>
        </w:rPr>
        <w:t xml:space="preserve">, ale </w:t>
      </w:r>
      <w:proofErr w:type="spellStart"/>
      <w:r w:rsidRPr="007654D1">
        <w:rPr>
          <w:rFonts w:ascii="Times New Roman" w:hAnsi="Times New Roman" w:cs="Times New Roman"/>
          <w:i/>
        </w:rPr>
        <w:t>articolului</w:t>
      </w:r>
      <w:proofErr w:type="spellEnd"/>
      <w:r w:rsidRPr="007654D1">
        <w:rPr>
          <w:rFonts w:ascii="Times New Roman" w:hAnsi="Times New Roman" w:cs="Times New Roman"/>
          <w:i/>
        </w:rPr>
        <w:t xml:space="preserve"> 360 </w:t>
      </w:r>
      <w:proofErr w:type="spellStart"/>
      <w:r w:rsidRPr="007654D1">
        <w:rPr>
          <w:rFonts w:ascii="Times New Roman" w:hAnsi="Times New Roman" w:cs="Times New Roman"/>
          <w:i/>
        </w:rPr>
        <w:t>primul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paragraf</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punctul</w:t>
      </w:r>
      <w:proofErr w:type="spellEnd"/>
      <w:r w:rsidRPr="007654D1">
        <w:rPr>
          <w:rFonts w:ascii="Times New Roman" w:hAnsi="Times New Roman" w:cs="Times New Roman"/>
          <w:i/>
        </w:rPr>
        <w:t xml:space="preserve"> 1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ale </w:t>
      </w:r>
      <w:proofErr w:type="spellStart"/>
      <w:r w:rsidRPr="007654D1">
        <w:rPr>
          <w:rFonts w:ascii="Times New Roman" w:hAnsi="Times New Roman" w:cs="Times New Roman"/>
          <w:i/>
        </w:rPr>
        <w:t>articolului</w:t>
      </w:r>
      <w:proofErr w:type="spellEnd"/>
      <w:r w:rsidRPr="007654D1">
        <w:rPr>
          <w:rFonts w:ascii="Times New Roman" w:hAnsi="Times New Roman" w:cs="Times New Roman"/>
          <w:i/>
        </w:rPr>
        <w:t xml:space="preserve"> 362 </w:t>
      </w:r>
      <w:proofErr w:type="spellStart"/>
      <w:r w:rsidRPr="007654D1">
        <w:rPr>
          <w:rFonts w:ascii="Times New Roman" w:hAnsi="Times New Roman" w:cs="Times New Roman"/>
          <w:i/>
        </w:rPr>
        <w:t>primul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paragraf</w:t>
      </w:r>
      <w:proofErr w:type="spellEnd"/>
      <w:r w:rsidRPr="007654D1">
        <w:rPr>
          <w:rFonts w:ascii="Times New Roman" w:hAnsi="Times New Roman" w:cs="Times New Roman"/>
          <w:i/>
        </w:rPr>
        <w:t xml:space="preserve"> din </w:t>
      </w:r>
      <w:proofErr w:type="spellStart"/>
      <w:r w:rsidRPr="007654D1">
        <w:rPr>
          <w:rFonts w:ascii="Times New Roman" w:hAnsi="Times New Roman" w:cs="Times New Roman"/>
          <w:i/>
        </w:rPr>
        <w:t>Codul</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procedură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civilă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ale </w:t>
      </w:r>
      <w:proofErr w:type="spellStart"/>
      <w:r w:rsidRPr="007654D1">
        <w:rPr>
          <w:rFonts w:ascii="Times New Roman" w:hAnsi="Times New Roman" w:cs="Times New Roman"/>
          <w:i/>
        </w:rPr>
        <w:t>articolului</w:t>
      </w:r>
      <w:proofErr w:type="spellEnd"/>
      <w:r w:rsidRPr="007654D1">
        <w:rPr>
          <w:rFonts w:ascii="Times New Roman" w:hAnsi="Times New Roman" w:cs="Times New Roman"/>
          <w:i/>
        </w:rPr>
        <w:t xml:space="preserve"> 110 din </w:t>
      </w:r>
      <w:proofErr w:type="spellStart"/>
      <w:r w:rsidRPr="007654D1">
        <w:rPr>
          <w:rFonts w:ascii="Times New Roman" w:hAnsi="Times New Roman" w:cs="Times New Roman"/>
          <w:i/>
        </w:rPr>
        <w:t>Codul</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procedură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administrativă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astfel</w:t>
      </w:r>
      <w:proofErr w:type="spellEnd"/>
      <w:r w:rsidRPr="007654D1">
        <w:rPr>
          <w:rFonts w:ascii="Times New Roman" w:hAnsi="Times New Roman" w:cs="Times New Roman"/>
          <w:i/>
        </w:rPr>
        <w:t xml:space="preserve"> cum </w:t>
      </w:r>
      <w:proofErr w:type="spellStart"/>
      <w:r w:rsidRPr="007654D1">
        <w:rPr>
          <w:rFonts w:ascii="Times New Roman" w:hAnsi="Times New Roman" w:cs="Times New Roman"/>
          <w:i/>
        </w:rPr>
        <w:t>acestea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reies</w:t>
      </w:r>
      <w:proofErr w:type="spellEnd"/>
      <w:r w:rsidRPr="007654D1">
        <w:rPr>
          <w:rFonts w:ascii="Times New Roman" w:hAnsi="Times New Roman" w:cs="Times New Roman"/>
          <w:i/>
        </w:rPr>
        <w:t xml:space="preserve"> din </w:t>
      </w:r>
      <w:proofErr w:type="spellStart"/>
      <w:r w:rsidRPr="007654D1">
        <w:rPr>
          <w:rFonts w:ascii="Times New Roman" w:hAnsi="Times New Roman" w:cs="Times New Roman"/>
          <w:i/>
        </w:rPr>
        <w:t>practica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jurisprudențială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potrivit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căreia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recursul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fața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Secțiilor</w:t>
      </w:r>
      <w:proofErr w:type="spellEnd"/>
      <w:r w:rsidRPr="007654D1">
        <w:rPr>
          <w:rFonts w:ascii="Times New Roman" w:hAnsi="Times New Roman" w:cs="Times New Roman"/>
          <w:i/>
        </w:rPr>
        <w:t xml:space="preserve"> Unite </w:t>
      </w:r>
      <w:proofErr w:type="spellStart"/>
      <w:r w:rsidRPr="007654D1">
        <w:rPr>
          <w:rFonts w:ascii="Times New Roman" w:hAnsi="Times New Roman" w:cs="Times New Roman"/>
          <w:i/>
        </w:rPr>
        <w:t>pentru</w:t>
      </w:r>
      <w:proofErr w:type="spellEnd"/>
      <w:r w:rsidRPr="007654D1">
        <w:rPr>
          <w:rFonts w:ascii="Times New Roman" w:hAnsi="Times New Roman" w:cs="Times New Roman"/>
          <w:i/>
        </w:rPr>
        <w:t xml:space="preserve"> „motive </w:t>
      </w:r>
      <w:proofErr w:type="spellStart"/>
      <w:r w:rsidRPr="007654D1">
        <w:rPr>
          <w:rFonts w:ascii="Times New Roman" w:hAnsi="Times New Roman" w:cs="Times New Roman"/>
          <w:i/>
        </w:rPr>
        <w:t>întemeiate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w:t>
      </w:r>
      <w:proofErr w:type="spellEnd"/>
      <w:r w:rsidRPr="007654D1">
        <w:rPr>
          <w:rFonts w:ascii="Times New Roman" w:hAnsi="Times New Roman" w:cs="Times New Roman"/>
          <w:i/>
        </w:rPr>
        <w:t xml:space="preserve"> un conflict de </w:t>
      </w:r>
      <w:proofErr w:type="spellStart"/>
      <w:r w:rsidRPr="007654D1">
        <w:rPr>
          <w:rFonts w:ascii="Times New Roman" w:hAnsi="Times New Roman" w:cs="Times New Roman"/>
          <w:i/>
        </w:rPr>
        <w:t>competență</w:t>
      </w:r>
      <w:proofErr w:type="spellEnd"/>
      <w:r w:rsidRPr="007654D1">
        <w:rPr>
          <w:rFonts w:ascii="Times New Roman" w:hAnsi="Times New Roman" w:cs="Times New Roman"/>
          <w:i/>
        </w:rPr>
        <w:t xml:space="preserve">”, sub </w:t>
      </w:r>
      <w:proofErr w:type="spellStart"/>
      <w:r w:rsidRPr="007654D1">
        <w:rPr>
          <w:rFonts w:ascii="Times New Roman" w:hAnsi="Times New Roman" w:cs="Times New Roman"/>
          <w:i/>
        </w:rPr>
        <w:t>aspectul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așa-numitei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necompetențe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jurisdicționale</w:t>
      </w:r>
      <w:proofErr w:type="spellEnd"/>
      <w:r w:rsidRPr="007654D1">
        <w:rPr>
          <w:rFonts w:ascii="Times New Roman" w:hAnsi="Times New Roman" w:cs="Times New Roman"/>
          <w:i/>
        </w:rPr>
        <w:t xml:space="preserve">”, nu </w:t>
      </w:r>
      <w:proofErr w:type="spellStart"/>
      <w:r w:rsidRPr="007654D1">
        <w:rPr>
          <w:rFonts w:ascii="Times New Roman" w:hAnsi="Times New Roman" w:cs="Times New Roman"/>
          <w:i/>
        </w:rPr>
        <w:t>poate</w:t>
      </w:r>
      <w:proofErr w:type="spellEnd"/>
      <w:r w:rsidRPr="007654D1">
        <w:rPr>
          <w:rFonts w:ascii="Times New Roman" w:hAnsi="Times New Roman" w:cs="Times New Roman"/>
          <w:i/>
        </w:rPr>
        <w:t xml:space="preserve"> fi </w:t>
      </w:r>
      <w:proofErr w:type="spellStart"/>
      <w:r w:rsidRPr="007654D1">
        <w:rPr>
          <w:rFonts w:ascii="Times New Roman" w:hAnsi="Times New Roman" w:cs="Times New Roman"/>
          <w:i/>
        </w:rPr>
        <w:t>introdus</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drept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cale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atac</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împotriva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hotărârilor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Consiglio</w:t>
      </w:r>
      <w:proofErr w:type="spellEnd"/>
      <w:r w:rsidRPr="007654D1">
        <w:rPr>
          <w:rFonts w:ascii="Times New Roman" w:hAnsi="Times New Roman" w:cs="Times New Roman"/>
          <w:i/>
        </w:rPr>
        <w:t xml:space="preserve"> di </w:t>
      </w:r>
      <w:proofErr w:type="spellStart"/>
      <w:r w:rsidRPr="007654D1">
        <w:rPr>
          <w:rFonts w:ascii="Times New Roman" w:hAnsi="Times New Roman" w:cs="Times New Roman"/>
          <w:i/>
        </w:rPr>
        <w:t>Stato</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Consiliul</w:t>
      </w:r>
      <w:proofErr w:type="spellEnd"/>
      <w:r w:rsidRPr="007654D1">
        <w:rPr>
          <w:rFonts w:ascii="Times New Roman" w:hAnsi="Times New Roman" w:cs="Times New Roman"/>
          <w:i/>
        </w:rPr>
        <w:t xml:space="preserve"> de Stat] </w:t>
      </w:r>
      <w:proofErr w:type="spellStart"/>
      <w:r w:rsidRPr="007654D1">
        <w:rPr>
          <w:rFonts w:ascii="Times New Roman" w:hAnsi="Times New Roman" w:cs="Times New Roman"/>
          <w:i/>
        </w:rPr>
        <w:t>prin</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soluționarea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litigii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având</w:t>
      </w:r>
      <w:proofErr w:type="spellEnd"/>
      <w:r w:rsidRPr="007654D1">
        <w:rPr>
          <w:rFonts w:ascii="Times New Roman" w:hAnsi="Times New Roman" w:cs="Times New Roman"/>
          <w:i/>
        </w:rPr>
        <w:t xml:space="preserve"> ca </w:t>
      </w:r>
      <w:proofErr w:type="spellStart"/>
      <w:r w:rsidRPr="007654D1">
        <w:rPr>
          <w:rFonts w:ascii="Times New Roman" w:hAnsi="Times New Roman" w:cs="Times New Roman"/>
          <w:i/>
        </w:rPr>
        <w:t>obiect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chestiuni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privind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dreptului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 xml:space="preserve">, se </w:t>
      </w:r>
      <w:proofErr w:type="spellStart"/>
      <w:r w:rsidRPr="007654D1">
        <w:rPr>
          <w:rFonts w:ascii="Times New Roman" w:hAnsi="Times New Roman" w:cs="Times New Roman"/>
          <w:i/>
        </w:rPr>
        <w:t>omite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mod </w:t>
      </w:r>
      <w:proofErr w:type="spellStart"/>
      <w:r w:rsidRPr="007654D1">
        <w:rPr>
          <w:rFonts w:ascii="Times New Roman" w:hAnsi="Times New Roman" w:cs="Times New Roman"/>
          <w:i/>
        </w:rPr>
        <w:t>nemotivat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efectuarea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trimiterii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preliminare</w:t>
      </w:r>
      <w:proofErr w:type="spellEnd"/>
      <w:r w:rsidRPr="007654D1">
        <w:rPr>
          <w:rFonts w:ascii="Times New Roman" w:hAnsi="Times New Roman" w:cs="Times New Roman"/>
          <w:i/>
        </w:rPr>
        <w:t xml:space="preserve"> la </w:t>
      </w:r>
      <w:proofErr w:type="spellStart"/>
      <w:r w:rsidRPr="007654D1">
        <w:rPr>
          <w:rFonts w:ascii="Times New Roman" w:hAnsi="Times New Roman" w:cs="Times New Roman"/>
          <w:i/>
        </w:rPr>
        <w:t>Curtea</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Justiție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situația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care nu </w:t>
      </w:r>
      <w:proofErr w:type="spellStart"/>
      <w:r w:rsidRPr="007654D1">
        <w:rPr>
          <w:rFonts w:ascii="Times New Roman" w:hAnsi="Times New Roman" w:cs="Times New Roman"/>
          <w:i/>
        </w:rPr>
        <w:t>sunt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îndeplinite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condițiile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strictă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interpretare</w:t>
      </w:r>
      <w:proofErr w:type="spellEnd"/>
      <w:r w:rsidRPr="007654D1">
        <w:rPr>
          <w:rFonts w:ascii="Times New Roman" w:hAnsi="Times New Roman" w:cs="Times New Roman"/>
          <w:i/>
        </w:rPr>
        <w:t xml:space="preserve">, indicate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mod </w:t>
      </w:r>
      <w:proofErr w:type="spellStart"/>
      <w:r w:rsidRPr="007654D1">
        <w:rPr>
          <w:rFonts w:ascii="Times New Roman" w:hAnsi="Times New Roman" w:cs="Times New Roman"/>
          <w:i/>
        </w:rPr>
        <w:t>exhaustiv</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aceasta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începând</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Hotărârea</w:t>
      </w:r>
      <w:proofErr w:type="spellEnd"/>
      <w:r w:rsidRPr="007654D1">
        <w:rPr>
          <w:rFonts w:ascii="Times New Roman" w:hAnsi="Times New Roman" w:cs="Times New Roman"/>
          <w:i/>
        </w:rPr>
        <w:t xml:space="preserve"> din 6 </w:t>
      </w:r>
      <w:proofErr w:type="spellStart"/>
      <w:r w:rsidRPr="007654D1">
        <w:rPr>
          <w:rFonts w:ascii="Times New Roman" w:hAnsi="Times New Roman" w:cs="Times New Roman"/>
          <w:i/>
        </w:rPr>
        <w:t>octombrie</w:t>
      </w:r>
      <w:proofErr w:type="spellEnd"/>
      <w:r w:rsidRPr="007654D1">
        <w:rPr>
          <w:rFonts w:ascii="Times New Roman" w:hAnsi="Times New Roman" w:cs="Times New Roman"/>
          <w:i/>
        </w:rPr>
        <w:t xml:space="preserve"> 1982, </w:t>
      </w:r>
      <w:proofErr w:type="spellStart"/>
      <w:r w:rsidRPr="007654D1">
        <w:rPr>
          <w:rFonts w:ascii="Times New Roman" w:hAnsi="Times New Roman" w:cs="Times New Roman"/>
          <w:i/>
        </w:rPr>
        <w:t>Cilfit</w:t>
      </w:r>
      <w:proofErr w:type="spellEnd"/>
      <w:r w:rsidRPr="007654D1">
        <w:rPr>
          <w:rFonts w:ascii="Times New Roman" w:hAnsi="Times New Roman" w:cs="Times New Roman"/>
          <w:i/>
        </w:rPr>
        <w:t xml:space="preserve">, 238/81), care </w:t>
      </w:r>
      <w:proofErr w:type="spellStart"/>
      <w:r w:rsidRPr="007654D1">
        <w:rPr>
          <w:rFonts w:ascii="Times New Roman" w:hAnsi="Times New Roman" w:cs="Times New Roman"/>
          <w:i/>
        </w:rPr>
        <w:t>exonerează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instanța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națională</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obligația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menționată</w:t>
      </w:r>
      <w:proofErr w:type="spellEnd"/>
      <w:r w:rsidRPr="007654D1">
        <w:rPr>
          <w:rFonts w:ascii="Times New Roman" w:hAnsi="Times New Roman" w:cs="Times New Roman"/>
          <w:i/>
        </w:rPr>
        <w:t xml:space="preserve"> anterior, </w:t>
      </w:r>
      <w:proofErr w:type="spellStart"/>
      <w:r w:rsidRPr="007654D1">
        <w:rPr>
          <w:rFonts w:ascii="Times New Roman" w:hAnsi="Times New Roman" w:cs="Times New Roman"/>
          <w:i/>
        </w:rPr>
        <w:t>contrar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principiului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potrivit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căruia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sunt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incompatibile</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dreptul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reglementările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sau</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practicile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procedurale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chiar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având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caracter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legislativ</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sau</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constituțional</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prevăd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privarea</w:t>
      </w:r>
      <w:proofErr w:type="spellEnd"/>
      <w:r w:rsidRPr="007654D1">
        <w:rPr>
          <w:rFonts w:ascii="Times New Roman" w:hAnsi="Times New Roman" w:cs="Times New Roman"/>
          <w:i/>
        </w:rPr>
        <w:t xml:space="preserve">, fie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temporară</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instanței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ultim</w:t>
      </w:r>
      <w:proofErr w:type="spellEnd"/>
      <w:r w:rsidRPr="007654D1">
        <w:rPr>
          <w:rFonts w:ascii="Times New Roman" w:hAnsi="Times New Roman" w:cs="Times New Roman"/>
          <w:i/>
        </w:rPr>
        <w:t xml:space="preserve"> grad, </w:t>
      </w:r>
      <w:proofErr w:type="spellStart"/>
      <w:r w:rsidRPr="007654D1">
        <w:rPr>
          <w:rFonts w:ascii="Times New Roman" w:hAnsi="Times New Roman" w:cs="Times New Roman"/>
          <w:i/>
        </w:rPr>
        <w:t>dar</w:t>
      </w:r>
      <w:proofErr w:type="spellEnd"/>
      <w:r w:rsidRPr="007654D1">
        <w:rPr>
          <w:rFonts w:ascii="Times New Roman" w:hAnsi="Times New Roman" w:cs="Times New Roman"/>
          <w:i/>
        </w:rPr>
        <w:t xml:space="preserve"> nu </w:t>
      </w:r>
      <w:proofErr w:type="spellStart"/>
      <w:r w:rsidRPr="007654D1">
        <w:rPr>
          <w:rFonts w:ascii="Times New Roman" w:hAnsi="Times New Roman" w:cs="Times New Roman"/>
          <w:i/>
        </w:rPr>
        <w:t>numai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libertatea</w:t>
      </w:r>
      <w:proofErr w:type="spellEnd"/>
      <w:r w:rsidRPr="007654D1">
        <w:rPr>
          <w:rFonts w:ascii="Times New Roman" w:hAnsi="Times New Roman" w:cs="Times New Roman"/>
          <w:i/>
        </w:rPr>
        <w:t xml:space="preserve"> de a </w:t>
      </w:r>
      <w:proofErr w:type="spellStart"/>
      <w:r w:rsidRPr="007654D1">
        <w:rPr>
          <w:rFonts w:ascii="Times New Roman" w:hAnsi="Times New Roman" w:cs="Times New Roman"/>
          <w:i/>
        </w:rPr>
        <w:t>efectua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trimiterea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preliminară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având</w:t>
      </w:r>
      <w:proofErr w:type="spellEnd"/>
      <w:r w:rsidRPr="007654D1">
        <w:rPr>
          <w:rFonts w:ascii="Times New Roman" w:hAnsi="Times New Roman" w:cs="Times New Roman"/>
          <w:i/>
        </w:rPr>
        <w:t xml:space="preserve"> ca </w:t>
      </w:r>
      <w:proofErr w:type="spellStart"/>
      <w:r w:rsidRPr="007654D1">
        <w:rPr>
          <w:rFonts w:ascii="Times New Roman" w:hAnsi="Times New Roman" w:cs="Times New Roman"/>
          <w:i/>
        </w:rPr>
        <w:t>efect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uzurparea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competenței</w:t>
      </w:r>
      <w:proofErr w:type="spellEnd"/>
      <w:r w:rsidRPr="007654D1">
        <w:rPr>
          <w:rFonts w:ascii="Times New Roman" w:hAnsi="Times New Roman" w:cs="Times New Roman"/>
          <w:i/>
        </w:rPr>
        <w:t xml:space="preserve"> exclusive a </w:t>
      </w:r>
      <w:proofErr w:type="spellStart"/>
      <w:r w:rsidRPr="007654D1">
        <w:rPr>
          <w:rFonts w:ascii="Times New Roman" w:hAnsi="Times New Roman" w:cs="Times New Roman"/>
          <w:i/>
        </w:rPr>
        <w:t>Curții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Justiție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privește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interpretarea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corectă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caracter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obligatoriu</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dreptului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comunitar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determinarea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imposibilității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remediere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favorizarea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consolidării</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unei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eventuale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neconformități</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dreptului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aplicat</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instanța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națională</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dreptul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afectarea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aplicării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uniforme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protecției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jurisdicționale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efective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drepturilor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subiective</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decurg</w:t>
      </w:r>
      <w:proofErr w:type="spellEnd"/>
      <w:r w:rsidRPr="007654D1">
        <w:rPr>
          <w:rFonts w:ascii="Times New Roman" w:hAnsi="Times New Roman" w:cs="Times New Roman"/>
          <w:i/>
        </w:rPr>
        <w:t xml:space="preserve"> din </w:t>
      </w:r>
      <w:proofErr w:type="spellStart"/>
      <w:r w:rsidRPr="007654D1">
        <w:rPr>
          <w:rFonts w:ascii="Times New Roman" w:hAnsi="Times New Roman" w:cs="Times New Roman"/>
          <w:i/>
        </w:rPr>
        <w:t>dreptul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w:t>
      </w:r>
    </w:p>
    <w:p w:rsidR="007654D1" w:rsidRPr="007654D1" w:rsidRDefault="007654D1" w:rsidP="007654D1">
      <w:pPr>
        <w:pStyle w:val="ListParagraph"/>
        <w:spacing w:before="120" w:after="120" w:line="276" w:lineRule="auto"/>
        <w:jc w:val="both"/>
        <w:rPr>
          <w:rFonts w:ascii="Times New Roman" w:hAnsi="Times New Roman" w:cs="Times New Roman"/>
          <w:i/>
        </w:rPr>
      </w:pPr>
    </w:p>
    <w:p w:rsidR="00815C37" w:rsidRPr="00F00B6A" w:rsidRDefault="007654D1" w:rsidP="007654D1">
      <w:pPr>
        <w:pStyle w:val="ListParagraph"/>
        <w:numPr>
          <w:ilvl w:val="0"/>
          <w:numId w:val="6"/>
        </w:numPr>
        <w:spacing w:before="120" w:after="120" w:line="276" w:lineRule="auto"/>
        <w:jc w:val="both"/>
        <w:rPr>
          <w:rFonts w:ascii="Times New Roman" w:hAnsi="Times New Roman" w:cs="Times New Roman"/>
          <w:i/>
        </w:rPr>
      </w:pPr>
      <w:proofErr w:type="spellStart"/>
      <w:r w:rsidRPr="007654D1">
        <w:rPr>
          <w:rFonts w:ascii="Times New Roman" w:hAnsi="Times New Roman" w:cs="Times New Roman"/>
          <w:i/>
        </w:rPr>
        <w:t>Principiile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enunțate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Curtea</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Justiție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Hotărârea</w:t>
      </w:r>
      <w:proofErr w:type="spellEnd"/>
      <w:r w:rsidRPr="007654D1">
        <w:rPr>
          <w:rFonts w:ascii="Times New Roman" w:hAnsi="Times New Roman" w:cs="Times New Roman"/>
          <w:i/>
        </w:rPr>
        <w:t xml:space="preserve"> din 5 </w:t>
      </w:r>
      <w:proofErr w:type="spellStart"/>
      <w:r w:rsidRPr="007654D1">
        <w:rPr>
          <w:rFonts w:ascii="Times New Roman" w:hAnsi="Times New Roman" w:cs="Times New Roman"/>
          <w:i/>
        </w:rPr>
        <w:t>septembrie</w:t>
      </w:r>
      <w:proofErr w:type="spellEnd"/>
      <w:r w:rsidRPr="007654D1">
        <w:rPr>
          <w:rFonts w:ascii="Times New Roman" w:hAnsi="Times New Roman" w:cs="Times New Roman"/>
          <w:i/>
        </w:rPr>
        <w:t xml:space="preserve"> 2019, Lombardi, C-333/18,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Hotărârea</w:t>
      </w:r>
      <w:proofErr w:type="spellEnd"/>
      <w:r w:rsidRPr="007654D1">
        <w:rPr>
          <w:rFonts w:ascii="Times New Roman" w:hAnsi="Times New Roman" w:cs="Times New Roman"/>
          <w:i/>
        </w:rPr>
        <w:t xml:space="preserve"> din 5 </w:t>
      </w:r>
      <w:proofErr w:type="spellStart"/>
      <w:r w:rsidRPr="007654D1">
        <w:rPr>
          <w:rFonts w:ascii="Times New Roman" w:hAnsi="Times New Roman" w:cs="Times New Roman"/>
          <w:i/>
        </w:rPr>
        <w:t>aprilie</w:t>
      </w:r>
      <w:proofErr w:type="spellEnd"/>
      <w:r w:rsidRPr="007654D1">
        <w:rPr>
          <w:rFonts w:ascii="Times New Roman" w:hAnsi="Times New Roman" w:cs="Times New Roman"/>
          <w:i/>
        </w:rPr>
        <w:t xml:space="preserve"> 2016, </w:t>
      </w:r>
      <w:proofErr w:type="spellStart"/>
      <w:r w:rsidRPr="007654D1">
        <w:rPr>
          <w:rFonts w:ascii="Times New Roman" w:hAnsi="Times New Roman" w:cs="Times New Roman"/>
          <w:i/>
        </w:rPr>
        <w:t>Puligienica</w:t>
      </w:r>
      <w:proofErr w:type="spellEnd"/>
      <w:r w:rsidRPr="007654D1">
        <w:rPr>
          <w:rFonts w:ascii="Times New Roman" w:hAnsi="Times New Roman" w:cs="Times New Roman"/>
          <w:i/>
        </w:rPr>
        <w:t xml:space="preserve">, C-689/13,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Hotărârea</w:t>
      </w:r>
      <w:proofErr w:type="spellEnd"/>
      <w:r w:rsidRPr="007654D1">
        <w:rPr>
          <w:rFonts w:ascii="Times New Roman" w:hAnsi="Times New Roman" w:cs="Times New Roman"/>
          <w:i/>
        </w:rPr>
        <w:t xml:space="preserve"> din 4 </w:t>
      </w:r>
      <w:proofErr w:type="spellStart"/>
      <w:r w:rsidRPr="007654D1">
        <w:rPr>
          <w:rFonts w:ascii="Times New Roman" w:hAnsi="Times New Roman" w:cs="Times New Roman"/>
          <w:i/>
        </w:rPr>
        <w:t>iulie</w:t>
      </w:r>
      <w:proofErr w:type="spellEnd"/>
      <w:r w:rsidRPr="007654D1">
        <w:rPr>
          <w:rFonts w:ascii="Times New Roman" w:hAnsi="Times New Roman" w:cs="Times New Roman"/>
          <w:i/>
        </w:rPr>
        <w:t xml:space="preserve"> 2013, </w:t>
      </w:r>
      <w:proofErr w:type="spellStart"/>
      <w:r w:rsidRPr="007654D1">
        <w:rPr>
          <w:rFonts w:ascii="Times New Roman" w:hAnsi="Times New Roman" w:cs="Times New Roman"/>
          <w:i/>
        </w:rPr>
        <w:t>Fastweb</w:t>
      </w:r>
      <w:proofErr w:type="spellEnd"/>
      <w:r w:rsidRPr="007654D1">
        <w:rPr>
          <w:rFonts w:ascii="Times New Roman" w:hAnsi="Times New Roman" w:cs="Times New Roman"/>
          <w:i/>
        </w:rPr>
        <w:t xml:space="preserve">, C-100/12,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privește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w:t>
      </w:r>
      <w:proofErr w:type="spellEnd"/>
      <w:r w:rsidRPr="007654D1">
        <w:rPr>
          <w:rFonts w:ascii="Times New Roman" w:hAnsi="Times New Roman" w:cs="Times New Roman"/>
          <w:i/>
        </w:rPr>
        <w:t xml:space="preserve"> 1 </w:t>
      </w:r>
      <w:proofErr w:type="spellStart"/>
      <w:r w:rsidRPr="007654D1">
        <w:rPr>
          <w:rFonts w:ascii="Times New Roman" w:hAnsi="Times New Roman" w:cs="Times New Roman"/>
          <w:i/>
        </w:rPr>
        <w:t>alineatele</w:t>
      </w:r>
      <w:proofErr w:type="spellEnd"/>
      <w:r w:rsidRPr="007654D1">
        <w:rPr>
          <w:rFonts w:ascii="Times New Roman" w:hAnsi="Times New Roman" w:cs="Times New Roman"/>
          <w:i/>
        </w:rPr>
        <w:t xml:space="preserve"> (1)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(3)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articolul</w:t>
      </w:r>
      <w:proofErr w:type="spellEnd"/>
      <w:r w:rsidRPr="007654D1">
        <w:rPr>
          <w:rFonts w:ascii="Times New Roman" w:hAnsi="Times New Roman" w:cs="Times New Roman"/>
          <w:i/>
        </w:rPr>
        <w:t xml:space="preserve"> 2 </w:t>
      </w:r>
      <w:proofErr w:type="spellStart"/>
      <w:r w:rsidRPr="007654D1">
        <w:rPr>
          <w:rFonts w:ascii="Times New Roman" w:hAnsi="Times New Roman" w:cs="Times New Roman"/>
          <w:i/>
        </w:rPr>
        <w:t>alineatul</w:t>
      </w:r>
      <w:proofErr w:type="spellEnd"/>
      <w:r w:rsidRPr="007654D1">
        <w:rPr>
          <w:rFonts w:ascii="Times New Roman" w:hAnsi="Times New Roman" w:cs="Times New Roman"/>
          <w:i/>
        </w:rPr>
        <w:t xml:space="preserve"> (1) din </w:t>
      </w:r>
      <w:proofErr w:type="spellStart"/>
      <w:r w:rsidRPr="007654D1">
        <w:rPr>
          <w:rFonts w:ascii="Times New Roman" w:hAnsi="Times New Roman" w:cs="Times New Roman"/>
          <w:i/>
        </w:rPr>
        <w:t>Directiva</w:t>
      </w:r>
      <w:proofErr w:type="spellEnd"/>
      <w:r w:rsidRPr="007654D1">
        <w:rPr>
          <w:rFonts w:ascii="Times New Roman" w:hAnsi="Times New Roman" w:cs="Times New Roman"/>
          <w:i/>
        </w:rPr>
        <w:t xml:space="preserve"> 89/665/CEE, </w:t>
      </w:r>
      <w:proofErr w:type="spellStart"/>
      <w:r w:rsidRPr="007654D1">
        <w:rPr>
          <w:rFonts w:ascii="Times New Roman" w:hAnsi="Times New Roman" w:cs="Times New Roman"/>
          <w:i/>
        </w:rPr>
        <w:t>modificată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Directiva</w:t>
      </w:r>
      <w:proofErr w:type="spellEnd"/>
      <w:r w:rsidRPr="007654D1">
        <w:rPr>
          <w:rFonts w:ascii="Times New Roman" w:hAnsi="Times New Roman" w:cs="Times New Roman"/>
          <w:i/>
        </w:rPr>
        <w:t xml:space="preserve"> 2007/66/CE, </w:t>
      </w:r>
      <w:proofErr w:type="spellStart"/>
      <w:r w:rsidRPr="007654D1">
        <w:rPr>
          <w:rFonts w:ascii="Times New Roman" w:hAnsi="Times New Roman" w:cs="Times New Roman"/>
          <w:i/>
        </w:rPr>
        <w:t>sunt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aplicabile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situația</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fapt</w:t>
      </w:r>
      <w:proofErr w:type="spellEnd"/>
      <w:r w:rsidRPr="007654D1">
        <w:rPr>
          <w:rFonts w:ascii="Times New Roman" w:hAnsi="Times New Roman" w:cs="Times New Roman"/>
          <w:i/>
        </w:rPr>
        <w:t xml:space="preserve"> care face </w:t>
      </w:r>
      <w:proofErr w:type="spellStart"/>
      <w:r w:rsidRPr="007654D1">
        <w:rPr>
          <w:rFonts w:ascii="Times New Roman" w:hAnsi="Times New Roman" w:cs="Times New Roman"/>
          <w:i/>
        </w:rPr>
        <w:t>obiectul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litigiului</w:t>
      </w:r>
      <w:proofErr w:type="spellEnd"/>
      <w:r w:rsidRPr="007654D1">
        <w:rPr>
          <w:rFonts w:ascii="Times New Roman" w:hAnsi="Times New Roman" w:cs="Times New Roman"/>
          <w:i/>
        </w:rPr>
        <w:t xml:space="preserve"> principal,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măsura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întreprinderea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concurentă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contestă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excluderea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dintr</w:t>
      </w:r>
      <w:proofErr w:type="spellEnd"/>
      <w:r w:rsidRPr="007654D1">
        <w:rPr>
          <w:rFonts w:ascii="Times New Roman" w:hAnsi="Times New Roman" w:cs="Times New Roman"/>
          <w:i/>
        </w:rPr>
        <w:t xml:space="preserve">-o </w:t>
      </w:r>
      <w:proofErr w:type="spellStart"/>
      <w:r w:rsidRPr="007654D1">
        <w:rPr>
          <w:rFonts w:ascii="Times New Roman" w:hAnsi="Times New Roman" w:cs="Times New Roman"/>
          <w:i/>
        </w:rPr>
        <w:t>procedură</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cerere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ofertă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atribuirea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contractului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alte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întreprinderi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Consiglio</w:t>
      </w:r>
      <w:proofErr w:type="spellEnd"/>
      <w:r w:rsidRPr="007654D1">
        <w:rPr>
          <w:rFonts w:ascii="Times New Roman" w:hAnsi="Times New Roman" w:cs="Times New Roman"/>
          <w:i/>
        </w:rPr>
        <w:t xml:space="preserve"> di </w:t>
      </w:r>
      <w:proofErr w:type="spellStart"/>
      <w:r w:rsidRPr="007654D1">
        <w:rPr>
          <w:rFonts w:ascii="Times New Roman" w:hAnsi="Times New Roman" w:cs="Times New Roman"/>
          <w:i/>
        </w:rPr>
        <w:t>Stato</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Consiliul</w:t>
      </w:r>
      <w:proofErr w:type="spellEnd"/>
      <w:r w:rsidRPr="007654D1">
        <w:rPr>
          <w:rFonts w:ascii="Times New Roman" w:hAnsi="Times New Roman" w:cs="Times New Roman"/>
          <w:i/>
        </w:rPr>
        <w:t xml:space="preserve"> de Stat] </w:t>
      </w:r>
      <w:proofErr w:type="spellStart"/>
      <w:r w:rsidRPr="007654D1">
        <w:rPr>
          <w:rFonts w:ascii="Times New Roman" w:hAnsi="Times New Roman" w:cs="Times New Roman"/>
          <w:i/>
        </w:rPr>
        <w:t>examinează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w:t>
      </w:r>
      <w:proofErr w:type="spellEnd"/>
      <w:r w:rsidRPr="007654D1">
        <w:rPr>
          <w:rFonts w:ascii="Times New Roman" w:hAnsi="Times New Roman" w:cs="Times New Roman"/>
          <w:i/>
        </w:rPr>
        <w:t xml:space="preserve"> fond </w:t>
      </w:r>
      <w:proofErr w:type="spellStart"/>
      <w:r w:rsidRPr="007654D1">
        <w:rPr>
          <w:rFonts w:ascii="Times New Roman" w:hAnsi="Times New Roman" w:cs="Times New Roman"/>
          <w:i/>
        </w:rPr>
        <w:t>numai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motivul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acțiunii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intermediul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căruia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întreprinderea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exclusă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contestă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punctajul</w:t>
      </w:r>
      <w:proofErr w:type="spellEnd"/>
      <w:r w:rsidRPr="007654D1">
        <w:rPr>
          <w:rFonts w:ascii="Times New Roman" w:hAnsi="Times New Roman" w:cs="Times New Roman"/>
          <w:i/>
        </w:rPr>
        <w:t xml:space="preserve"> inferior „</w:t>
      </w:r>
      <w:proofErr w:type="spellStart"/>
      <w:r w:rsidRPr="007654D1">
        <w:rPr>
          <w:rFonts w:ascii="Times New Roman" w:hAnsi="Times New Roman" w:cs="Times New Roman"/>
          <w:i/>
        </w:rPr>
        <w:t>pragului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excludere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acordat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ofertei</w:t>
      </w:r>
      <w:proofErr w:type="spellEnd"/>
      <w:r w:rsidRPr="007654D1">
        <w:rPr>
          <w:rFonts w:ascii="Times New Roman" w:hAnsi="Times New Roman" w:cs="Times New Roman"/>
          <w:i/>
        </w:rPr>
        <w:t xml:space="preserve"> sale </w:t>
      </w:r>
      <w:proofErr w:type="spellStart"/>
      <w:r w:rsidRPr="007654D1">
        <w:rPr>
          <w:rFonts w:ascii="Times New Roman" w:hAnsi="Times New Roman" w:cs="Times New Roman"/>
          <w:i/>
        </w:rPr>
        <w:t>tehnice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examinând</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prioritate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acțiunile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incidente</w:t>
      </w:r>
      <w:proofErr w:type="spellEnd"/>
      <w:r w:rsidRPr="007654D1">
        <w:rPr>
          <w:rFonts w:ascii="Times New Roman" w:hAnsi="Times New Roman" w:cs="Times New Roman"/>
          <w:i/>
        </w:rPr>
        <w:t xml:space="preserve"> formulate de </w:t>
      </w:r>
      <w:proofErr w:type="spellStart"/>
      <w:r w:rsidRPr="007654D1">
        <w:rPr>
          <w:rFonts w:ascii="Times New Roman" w:hAnsi="Times New Roman" w:cs="Times New Roman"/>
          <w:i/>
        </w:rPr>
        <w:t>autoritatea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contractantă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întreprinderea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declarată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câștigătoare</w:t>
      </w:r>
      <w:proofErr w:type="spellEnd"/>
      <w:r w:rsidRPr="007654D1">
        <w:rPr>
          <w:rFonts w:ascii="Times New Roman" w:hAnsi="Times New Roman" w:cs="Times New Roman"/>
          <w:i/>
        </w:rPr>
        <w:t xml:space="preserve">, le </w:t>
      </w:r>
      <w:proofErr w:type="spellStart"/>
      <w:r w:rsidRPr="007654D1">
        <w:rPr>
          <w:rFonts w:ascii="Times New Roman" w:hAnsi="Times New Roman" w:cs="Times New Roman"/>
          <w:i/>
        </w:rPr>
        <w:t>admite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declarând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inadmisibile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celelalte</w:t>
      </w:r>
      <w:proofErr w:type="spellEnd"/>
      <w:r w:rsidRPr="007654D1">
        <w:rPr>
          <w:rFonts w:ascii="Times New Roman" w:hAnsi="Times New Roman" w:cs="Times New Roman"/>
          <w:i/>
        </w:rPr>
        <w:t xml:space="preserve"> motive ale </w:t>
      </w:r>
      <w:proofErr w:type="spellStart"/>
      <w:r w:rsidRPr="007654D1">
        <w:rPr>
          <w:rFonts w:ascii="Times New Roman" w:hAnsi="Times New Roman" w:cs="Times New Roman"/>
          <w:i/>
        </w:rPr>
        <w:t>acțiunii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principale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omite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să</w:t>
      </w:r>
      <w:proofErr w:type="spellEnd"/>
      <w:r w:rsidRPr="007654D1">
        <w:rPr>
          <w:rFonts w:ascii="Times New Roman" w:hAnsi="Times New Roman" w:cs="Times New Roman"/>
          <w:i/>
        </w:rPr>
        <w:t xml:space="preserve"> le </w:t>
      </w:r>
      <w:proofErr w:type="spellStart"/>
      <w:r w:rsidRPr="007654D1">
        <w:rPr>
          <w:rFonts w:ascii="Times New Roman" w:hAnsi="Times New Roman" w:cs="Times New Roman"/>
          <w:i/>
        </w:rPr>
        <w:t>examineze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w:t>
      </w:r>
      <w:proofErr w:type="spellEnd"/>
      <w:r w:rsidRPr="007654D1">
        <w:rPr>
          <w:rFonts w:ascii="Times New Roman" w:hAnsi="Times New Roman" w:cs="Times New Roman"/>
          <w:i/>
        </w:rPr>
        <w:t xml:space="preserve"> fond), </w:t>
      </w:r>
      <w:proofErr w:type="spellStart"/>
      <w:r w:rsidRPr="007654D1">
        <w:rPr>
          <w:rFonts w:ascii="Times New Roman" w:hAnsi="Times New Roman" w:cs="Times New Roman"/>
          <w:i/>
        </w:rPr>
        <w:t>prin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intermediul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cărora</w:t>
      </w:r>
      <w:proofErr w:type="spellEnd"/>
      <w:r w:rsidRPr="007654D1">
        <w:rPr>
          <w:rFonts w:ascii="Times New Roman" w:hAnsi="Times New Roman" w:cs="Times New Roman"/>
          <w:i/>
        </w:rPr>
        <w:t xml:space="preserve"> se </w:t>
      </w:r>
      <w:proofErr w:type="spellStart"/>
      <w:r w:rsidRPr="007654D1">
        <w:rPr>
          <w:rFonts w:ascii="Times New Roman" w:hAnsi="Times New Roman" w:cs="Times New Roman"/>
          <w:i/>
        </w:rPr>
        <w:t>contestă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rezultatul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procedurii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cerere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ofertă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pentru</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alte</w:t>
      </w:r>
      <w:proofErr w:type="spellEnd"/>
      <w:r w:rsidRPr="007654D1">
        <w:rPr>
          <w:rFonts w:ascii="Times New Roman" w:hAnsi="Times New Roman" w:cs="Times New Roman"/>
          <w:i/>
        </w:rPr>
        <w:t xml:space="preserve"> motive (</w:t>
      </w:r>
      <w:proofErr w:type="spellStart"/>
      <w:r w:rsidRPr="007654D1">
        <w:rPr>
          <w:rFonts w:ascii="Times New Roman" w:hAnsi="Times New Roman" w:cs="Times New Roman"/>
          <w:i/>
        </w:rPr>
        <w:t>caracterul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imprecis</w:t>
      </w:r>
      <w:proofErr w:type="spellEnd"/>
      <w:r w:rsidRPr="007654D1">
        <w:rPr>
          <w:rFonts w:ascii="Times New Roman" w:hAnsi="Times New Roman" w:cs="Times New Roman"/>
          <w:i/>
        </w:rPr>
        <w:t xml:space="preserve"> al </w:t>
      </w:r>
      <w:proofErr w:type="spellStart"/>
      <w:r w:rsidRPr="007654D1">
        <w:rPr>
          <w:rFonts w:ascii="Times New Roman" w:hAnsi="Times New Roman" w:cs="Times New Roman"/>
          <w:i/>
        </w:rPr>
        <w:t>criteriilor</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evaluare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ofertelor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prevăzute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caietul</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sarcini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lipsa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motivării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voturilor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acordate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nelegalitatea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desemnării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compunerii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comisiei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atribuire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aplicarea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practici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jurisprudențiale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naționale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potrivit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căreia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întreprinderea</w:t>
      </w:r>
      <w:proofErr w:type="spellEnd"/>
      <w:r w:rsidRPr="007654D1">
        <w:rPr>
          <w:rFonts w:ascii="Times New Roman" w:hAnsi="Times New Roman" w:cs="Times New Roman"/>
          <w:i/>
        </w:rPr>
        <w:t xml:space="preserve"> care a </w:t>
      </w:r>
      <w:proofErr w:type="spellStart"/>
      <w:r w:rsidRPr="007654D1">
        <w:rPr>
          <w:rFonts w:ascii="Times New Roman" w:hAnsi="Times New Roman" w:cs="Times New Roman"/>
          <w:i/>
        </w:rPr>
        <w:t>fost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exclusă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dintr</w:t>
      </w:r>
      <w:proofErr w:type="spellEnd"/>
      <w:r w:rsidRPr="007654D1">
        <w:rPr>
          <w:rFonts w:ascii="Times New Roman" w:hAnsi="Times New Roman" w:cs="Times New Roman"/>
          <w:i/>
        </w:rPr>
        <w:t xml:space="preserve">-o </w:t>
      </w:r>
      <w:proofErr w:type="spellStart"/>
      <w:r w:rsidRPr="007654D1">
        <w:rPr>
          <w:rFonts w:ascii="Times New Roman" w:hAnsi="Times New Roman" w:cs="Times New Roman"/>
          <w:i/>
        </w:rPr>
        <w:t>procedură</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cerere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ofertă</w:t>
      </w:r>
      <w:proofErr w:type="spellEnd"/>
      <w:r w:rsidRPr="007654D1">
        <w:rPr>
          <w:rFonts w:ascii="Times New Roman" w:hAnsi="Times New Roman" w:cs="Times New Roman"/>
          <w:i/>
        </w:rPr>
        <w:t xml:space="preserve"> nu </w:t>
      </w:r>
      <w:proofErr w:type="spellStart"/>
      <w:r w:rsidRPr="007654D1">
        <w:rPr>
          <w:rFonts w:ascii="Times New Roman" w:hAnsi="Times New Roman" w:cs="Times New Roman"/>
          <w:i/>
        </w:rPr>
        <w:t>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avea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calitate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procesuală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pentru</w:t>
      </w:r>
      <w:proofErr w:type="spellEnd"/>
      <w:r w:rsidRPr="007654D1">
        <w:rPr>
          <w:rFonts w:ascii="Times New Roman" w:hAnsi="Times New Roman" w:cs="Times New Roman"/>
          <w:i/>
        </w:rPr>
        <w:t xml:space="preserve"> a formula </w:t>
      </w:r>
      <w:proofErr w:type="spellStart"/>
      <w:r w:rsidRPr="007654D1">
        <w:rPr>
          <w:rFonts w:ascii="Times New Roman" w:hAnsi="Times New Roman" w:cs="Times New Roman"/>
          <w:i/>
        </w:rPr>
        <w:t>critici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scopul</w:t>
      </w:r>
      <w:proofErr w:type="spellEnd"/>
      <w:r w:rsidRPr="007654D1">
        <w:rPr>
          <w:rFonts w:ascii="Times New Roman" w:hAnsi="Times New Roman" w:cs="Times New Roman"/>
          <w:i/>
        </w:rPr>
        <w:t xml:space="preserve"> de a </w:t>
      </w:r>
      <w:proofErr w:type="spellStart"/>
      <w:r w:rsidRPr="007654D1">
        <w:rPr>
          <w:rFonts w:ascii="Times New Roman" w:hAnsi="Times New Roman" w:cs="Times New Roman"/>
          <w:i/>
        </w:rPr>
        <w:t>contesta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atribuirea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contractului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favoarea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întreprinderii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concurente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nici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chiar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prin</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invocarea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lipsei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validității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procedurii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cerere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ofertă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fiind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necesar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să</w:t>
      </w:r>
      <w:proofErr w:type="spellEnd"/>
      <w:r w:rsidRPr="007654D1">
        <w:rPr>
          <w:rFonts w:ascii="Times New Roman" w:hAnsi="Times New Roman" w:cs="Times New Roman"/>
          <w:i/>
        </w:rPr>
        <w:t xml:space="preserve"> se </w:t>
      </w:r>
      <w:proofErr w:type="spellStart"/>
      <w:r w:rsidRPr="007654D1">
        <w:rPr>
          <w:rFonts w:ascii="Times New Roman" w:hAnsi="Times New Roman" w:cs="Times New Roman"/>
          <w:i/>
        </w:rPr>
        <w:t>evalueze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dacă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este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compatibil</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dreptul</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Uniunii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efectul</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împiedicare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întreprinderii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exercite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dreptul</w:t>
      </w:r>
      <w:proofErr w:type="spellEnd"/>
      <w:r w:rsidRPr="007654D1">
        <w:rPr>
          <w:rFonts w:ascii="Times New Roman" w:hAnsi="Times New Roman" w:cs="Times New Roman"/>
          <w:i/>
        </w:rPr>
        <w:t xml:space="preserve"> de a </w:t>
      </w:r>
      <w:proofErr w:type="spellStart"/>
      <w:r w:rsidRPr="007654D1">
        <w:rPr>
          <w:rFonts w:ascii="Times New Roman" w:hAnsi="Times New Roman" w:cs="Times New Roman"/>
          <w:i/>
        </w:rPr>
        <w:t>sesiza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instanța</w:t>
      </w:r>
      <w:proofErr w:type="spellEnd"/>
      <w:r w:rsidRPr="007654D1">
        <w:rPr>
          <w:rFonts w:ascii="Times New Roman" w:hAnsi="Times New Roman" w:cs="Times New Roman"/>
          <w:i/>
        </w:rPr>
        <w:t xml:space="preserve"> cu </w:t>
      </w:r>
      <w:proofErr w:type="spellStart"/>
      <w:r w:rsidRPr="007654D1">
        <w:rPr>
          <w:rFonts w:ascii="Times New Roman" w:hAnsi="Times New Roman" w:cs="Times New Roman"/>
          <w:i/>
        </w:rPr>
        <w:t>fiecare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motiv</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contestare</w:t>
      </w:r>
      <w:proofErr w:type="spellEnd"/>
      <w:r w:rsidRPr="007654D1">
        <w:rPr>
          <w:rFonts w:ascii="Times New Roman" w:hAnsi="Times New Roman" w:cs="Times New Roman"/>
          <w:i/>
        </w:rPr>
        <w:t xml:space="preserve"> a </w:t>
      </w:r>
      <w:proofErr w:type="spellStart"/>
      <w:r w:rsidRPr="007654D1">
        <w:rPr>
          <w:rFonts w:ascii="Times New Roman" w:hAnsi="Times New Roman" w:cs="Times New Roman"/>
          <w:i/>
        </w:rPr>
        <w:t>rezultatului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procedurii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cerere</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ofertă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într</w:t>
      </w:r>
      <w:proofErr w:type="spellEnd"/>
      <w:r w:rsidRPr="007654D1">
        <w:rPr>
          <w:rFonts w:ascii="Times New Roman" w:hAnsi="Times New Roman" w:cs="Times New Roman"/>
          <w:i/>
        </w:rPr>
        <w:t xml:space="preserve">-o </w:t>
      </w:r>
      <w:proofErr w:type="spellStart"/>
      <w:r w:rsidRPr="007654D1">
        <w:rPr>
          <w:rFonts w:ascii="Times New Roman" w:hAnsi="Times New Roman" w:cs="Times New Roman"/>
          <w:i/>
        </w:rPr>
        <w:t>situație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excluderea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sa</w:t>
      </w:r>
      <w:proofErr w:type="spellEnd"/>
      <w:r w:rsidRPr="007654D1">
        <w:rPr>
          <w:rFonts w:ascii="Times New Roman" w:hAnsi="Times New Roman" w:cs="Times New Roman"/>
          <w:i/>
        </w:rPr>
        <w:t xml:space="preserve"> nu a </w:t>
      </w:r>
      <w:proofErr w:type="spellStart"/>
      <w:r w:rsidRPr="007654D1">
        <w:rPr>
          <w:rFonts w:ascii="Times New Roman" w:hAnsi="Times New Roman" w:cs="Times New Roman"/>
          <w:i/>
        </w:rPr>
        <w:t>fost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constatată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mod </w:t>
      </w:r>
      <w:proofErr w:type="spellStart"/>
      <w:r w:rsidRPr="007654D1">
        <w:rPr>
          <w:rFonts w:ascii="Times New Roman" w:hAnsi="Times New Roman" w:cs="Times New Roman"/>
          <w:i/>
        </w:rPr>
        <w:t>definitiv</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în</w:t>
      </w:r>
      <w:proofErr w:type="spellEnd"/>
      <w:r w:rsidRPr="007654D1">
        <w:rPr>
          <w:rFonts w:ascii="Times New Roman" w:hAnsi="Times New Roman" w:cs="Times New Roman"/>
          <w:i/>
        </w:rPr>
        <w:t xml:space="preserve"> care </w:t>
      </w:r>
      <w:proofErr w:type="spellStart"/>
      <w:r w:rsidRPr="007654D1">
        <w:rPr>
          <w:rFonts w:ascii="Times New Roman" w:hAnsi="Times New Roman" w:cs="Times New Roman"/>
          <w:i/>
        </w:rPr>
        <w:t>fiecare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concurent</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poate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invoca</w:t>
      </w:r>
      <w:proofErr w:type="spellEnd"/>
      <w:r w:rsidRPr="007654D1">
        <w:rPr>
          <w:rFonts w:ascii="Times New Roman" w:hAnsi="Times New Roman" w:cs="Times New Roman"/>
          <w:i/>
        </w:rPr>
        <w:t xml:space="preserve"> un </w:t>
      </w:r>
      <w:proofErr w:type="spellStart"/>
      <w:r w:rsidRPr="007654D1">
        <w:rPr>
          <w:rFonts w:ascii="Times New Roman" w:hAnsi="Times New Roman" w:cs="Times New Roman"/>
          <w:i/>
        </w:rPr>
        <w:t>interes</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legitim</w:t>
      </w:r>
      <w:proofErr w:type="spellEnd"/>
      <w:r w:rsidRPr="007654D1">
        <w:rPr>
          <w:rFonts w:ascii="Times New Roman" w:hAnsi="Times New Roman" w:cs="Times New Roman"/>
          <w:i/>
        </w:rPr>
        <w:t xml:space="preserve"> analog </w:t>
      </w:r>
      <w:proofErr w:type="spellStart"/>
      <w:r w:rsidRPr="007654D1">
        <w:rPr>
          <w:rFonts w:ascii="Times New Roman" w:hAnsi="Times New Roman" w:cs="Times New Roman"/>
          <w:i/>
        </w:rPr>
        <w:t>privind</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excluderea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ofertei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celorlalți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ceea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lastRenderedPageBreak/>
        <w:t>ce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poate</w:t>
      </w:r>
      <w:proofErr w:type="spellEnd"/>
      <w:r w:rsidRPr="007654D1">
        <w:rPr>
          <w:rFonts w:ascii="Times New Roman" w:hAnsi="Times New Roman" w:cs="Times New Roman"/>
          <w:i/>
        </w:rPr>
        <w:t xml:space="preserve"> conduce la </w:t>
      </w:r>
      <w:proofErr w:type="spellStart"/>
      <w:r w:rsidRPr="007654D1">
        <w:rPr>
          <w:rFonts w:ascii="Times New Roman" w:hAnsi="Times New Roman" w:cs="Times New Roman"/>
          <w:i/>
        </w:rPr>
        <w:t>constatarea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imposibilității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autorității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contractante</w:t>
      </w:r>
      <w:proofErr w:type="spellEnd"/>
      <w:r w:rsidRPr="007654D1">
        <w:rPr>
          <w:rFonts w:ascii="Times New Roman" w:hAnsi="Times New Roman" w:cs="Times New Roman"/>
          <w:i/>
        </w:rPr>
        <w:t xml:space="preserve"> de a </w:t>
      </w:r>
      <w:proofErr w:type="spellStart"/>
      <w:r w:rsidRPr="007654D1">
        <w:rPr>
          <w:rFonts w:ascii="Times New Roman" w:hAnsi="Times New Roman" w:cs="Times New Roman"/>
          <w:i/>
        </w:rPr>
        <w:t>proceda</w:t>
      </w:r>
      <w:proofErr w:type="spellEnd"/>
      <w:r w:rsidRPr="007654D1">
        <w:rPr>
          <w:rFonts w:ascii="Times New Roman" w:hAnsi="Times New Roman" w:cs="Times New Roman"/>
          <w:i/>
        </w:rPr>
        <w:t xml:space="preserve"> la </w:t>
      </w:r>
      <w:proofErr w:type="spellStart"/>
      <w:r w:rsidRPr="007654D1">
        <w:rPr>
          <w:rFonts w:ascii="Times New Roman" w:hAnsi="Times New Roman" w:cs="Times New Roman"/>
          <w:i/>
        </w:rPr>
        <w:t>selecția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oferte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legale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și</w:t>
      </w:r>
      <w:proofErr w:type="spellEnd"/>
      <w:r w:rsidRPr="007654D1">
        <w:rPr>
          <w:rFonts w:ascii="Times New Roman" w:hAnsi="Times New Roman" w:cs="Times New Roman"/>
          <w:i/>
        </w:rPr>
        <w:t xml:space="preserve"> la </w:t>
      </w:r>
      <w:proofErr w:type="spellStart"/>
      <w:r w:rsidRPr="007654D1">
        <w:rPr>
          <w:rFonts w:ascii="Times New Roman" w:hAnsi="Times New Roman" w:cs="Times New Roman"/>
          <w:i/>
        </w:rPr>
        <w:t>inițierea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unei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noi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proceduri</w:t>
      </w:r>
      <w:proofErr w:type="spellEnd"/>
      <w:r w:rsidRPr="007654D1">
        <w:rPr>
          <w:rFonts w:ascii="Times New Roman" w:hAnsi="Times New Roman" w:cs="Times New Roman"/>
          <w:i/>
        </w:rPr>
        <w:t xml:space="preserve"> de </w:t>
      </w:r>
      <w:proofErr w:type="spellStart"/>
      <w:r w:rsidRPr="007654D1">
        <w:rPr>
          <w:rFonts w:ascii="Times New Roman" w:hAnsi="Times New Roman" w:cs="Times New Roman"/>
          <w:i/>
        </w:rPr>
        <w:t>atribuire</w:t>
      </w:r>
      <w:proofErr w:type="spellEnd"/>
      <w:r w:rsidRPr="007654D1">
        <w:rPr>
          <w:rFonts w:ascii="Times New Roman" w:hAnsi="Times New Roman" w:cs="Times New Roman"/>
          <w:i/>
        </w:rPr>
        <w:t xml:space="preserve">, la care </w:t>
      </w:r>
      <w:proofErr w:type="spellStart"/>
      <w:r w:rsidRPr="007654D1">
        <w:rPr>
          <w:rFonts w:ascii="Times New Roman" w:hAnsi="Times New Roman" w:cs="Times New Roman"/>
          <w:i/>
        </w:rPr>
        <w:t>fiecare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dintre</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ofertanți</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ar</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putea</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să</w:t>
      </w:r>
      <w:proofErr w:type="spellEnd"/>
      <w:r w:rsidRPr="007654D1">
        <w:rPr>
          <w:rFonts w:ascii="Times New Roman" w:hAnsi="Times New Roman" w:cs="Times New Roman"/>
          <w:i/>
        </w:rPr>
        <w:t xml:space="preserve"> </w:t>
      </w:r>
      <w:proofErr w:type="spellStart"/>
      <w:r w:rsidRPr="007654D1">
        <w:rPr>
          <w:rFonts w:ascii="Times New Roman" w:hAnsi="Times New Roman" w:cs="Times New Roman"/>
          <w:i/>
        </w:rPr>
        <w:t>participe</w:t>
      </w:r>
      <w:proofErr w:type="spellEnd"/>
      <w:r w:rsidRPr="007654D1">
        <w:rPr>
          <w:rFonts w:ascii="Times New Roman" w:hAnsi="Times New Roman" w:cs="Times New Roman"/>
          <w:i/>
        </w:rPr>
        <w:t>?</w:t>
      </w:r>
      <w:r w:rsidR="00815C37" w:rsidRPr="00F00B6A">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F00B6A" w:rsidRPr="00F00B6A" w:rsidRDefault="00DD6ACD" w:rsidP="00B25950">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proofErr w:type="spellStart"/>
      <w:r w:rsidR="00B25950" w:rsidRPr="00B25950">
        <w:rPr>
          <w:rFonts w:ascii="Times New Roman" w:eastAsia="Times New Roman" w:hAnsi="Times New Roman" w:cs="Times New Roman"/>
          <w:b/>
          <w:bCs/>
          <w:i/>
          <w:color w:val="333333"/>
        </w:rPr>
        <w:t>Articolul</w:t>
      </w:r>
      <w:proofErr w:type="spellEnd"/>
      <w:r w:rsidR="00B25950" w:rsidRPr="00B25950">
        <w:rPr>
          <w:rFonts w:ascii="Times New Roman" w:eastAsia="Times New Roman" w:hAnsi="Times New Roman" w:cs="Times New Roman"/>
          <w:b/>
          <w:bCs/>
          <w:i/>
          <w:color w:val="333333"/>
        </w:rPr>
        <w:t xml:space="preserve"> 4 </w:t>
      </w:r>
      <w:proofErr w:type="spellStart"/>
      <w:r w:rsidR="00B25950" w:rsidRPr="00B25950">
        <w:rPr>
          <w:rFonts w:ascii="Times New Roman" w:eastAsia="Times New Roman" w:hAnsi="Times New Roman" w:cs="Times New Roman"/>
          <w:b/>
          <w:bCs/>
          <w:i/>
          <w:color w:val="333333"/>
        </w:rPr>
        <w:t>alineatul</w:t>
      </w:r>
      <w:proofErr w:type="spellEnd"/>
      <w:r w:rsidR="00B25950" w:rsidRPr="00B25950">
        <w:rPr>
          <w:rFonts w:ascii="Times New Roman" w:eastAsia="Times New Roman" w:hAnsi="Times New Roman" w:cs="Times New Roman"/>
          <w:b/>
          <w:bCs/>
          <w:i/>
          <w:color w:val="333333"/>
        </w:rPr>
        <w:t xml:space="preserve"> (3)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articolul</w:t>
      </w:r>
      <w:proofErr w:type="spellEnd"/>
      <w:r w:rsidR="00B25950" w:rsidRPr="00B25950">
        <w:rPr>
          <w:rFonts w:ascii="Times New Roman" w:eastAsia="Times New Roman" w:hAnsi="Times New Roman" w:cs="Times New Roman"/>
          <w:b/>
          <w:bCs/>
          <w:i/>
          <w:color w:val="333333"/>
        </w:rPr>
        <w:t xml:space="preserve"> 19 </w:t>
      </w:r>
      <w:proofErr w:type="spellStart"/>
      <w:r w:rsidR="00B25950" w:rsidRPr="00B25950">
        <w:rPr>
          <w:rFonts w:ascii="Times New Roman" w:eastAsia="Times New Roman" w:hAnsi="Times New Roman" w:cs="Times New Roman"/>
          <w:b/>
          <w:bCs/>
          <w:i/>
          <w:color w:val="333333"/>
        </w:rPr>
        <w:t>alineatul</w:t>
      </w:r>
      <w:proofErr w:type="spellEnd"/>
      <w:r w:rsidR="00B25950" w:rsidRPr="00B25950">
        <w:rPr>
          <w:rFonts w:ascii="Times New Roman" w:eastAsia="Times New Roman" w:hAnsi="Times New Roman" w:cs="Times New Roman"/>
          <w:b/>
          <w:bCs/>
          <w:i/>
          <w:color w:val="333333"/>
        </w:rPr>
        <w:t xml:space="preserve"> (1) TUE, </w:t>
      </w:r>
      <w:proofErr w:type="spellStart"/>
      <w:r w:rsidR="00B25950" w:rsidRPr="00B25950">
        <w:rPr>
          <w:rFonts w:ascii="Times New Roman" w:eastAsia="Times New Roman" w:hAnsi="Times New Roman" w:cs="Times New Roman"/>
          <w:b/>
          <w:bCs/>
          <w:i/>
          <w:color w:val="333333"/>
        </w:rPr>
        <w:t>precum</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articolul</w:t>
      </w:r>
      <w:proofErr w:type="spellEnd"/>
      <w:r w:rsidR="00B25950" w:rsidRPr="00B25950">
        <w:rPr>
          <w:rFonts w:ascii="Times New Roman" w:eastAsia="Times New Roman" w:hAnsi="Times New Roman" w:cs="Times New Roman"/>
          <w:b/>
          <w:bCs/>
          <w:i/>
          <w:color w:val="333333"/>
        </w:rPr>
        <w:t xml:space="preserve"> 1 </w:t>
      </w:r>
      <w:proofErr w:type="spellStart"/>
      <w:r w:rsidR="00B25950" w:rsidRPr="00B25950">
        <w:rPr>
          <w:rFonts w:ascii="Times New Roman" w:eastAsia="Times New Roman" w:hAnsi="Times New Roman" w:cs="Times New Roman"/>
          <w:b/>
          <w:bCs/>
          <w:i/>
          <w:color w:val="333333"/>
        </w:rPr>
        <w:t>alineatele</w:t>
      </w:r>
      <w:proofErr w:type="spellEnd"/>
      <w:r w:rsidR="00B25950" w:rsidRPr="00B25950">
        <w:rPr>
          <w:rFonts w:ascii="Times New Roman" w:eastAsia="Times New Roman" w:hAnsi="Times New Roman" w:cs="Times New Roman"/>
          <w:b/>
          <w:bCs/>
          <w:i/>
          <w:color w:val="333333"/>
        </w:rPr>
        <w:t xml:space="preserve"> (1)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(3) din </w:t>
      </w:r>
      <w:proofErr w:type="spellStart"/>
      <w:r w:rsidR="00B25950" w:rsidRPr="00B25950">
        <w:rPr>
          <w:rFonts w:ascii="Times New Roman" w:eastAsia="Times New Roman" w:hAnsi="Times New Roman" w:cs="Times New Roman"/>
          <w:b/>
          <w:bCs/>
          <w:i/>
          <w:color w:val="333333"/>
        </w:rPr>
        <w:t>Directiva</w:t>
      </w:r>
      <w:proofErr w:type="spellEnd"/>
      <w:r w:rsidR="00B25950" w:rsidRPr="00B25950">
        <w:rPr>
          <w:rFonts w:ascii="Times New Roman" w:eastAsia="Times New Roman" w:hAnsi="Times New Roman" w:cs="Times New Roman"/>
          <w:b/>
          <w:bCs/>
          <w:i/>
          <w:color w:val="333333"/>
        </w:rPr>
        <w:t xml:space="preserve"> 89/665/CEE a </w:t>
      </w:r>
      <w:proofErr w:type="spellStart"/>
      <w:r w:rsidR="00B25950" w:rsidRPr="00B25950">
        <w:rPr>
          <w:rFonts w:ascii="Times New Roman" w:eastAsia="Times New Roman" w:hAnsi="Times New Roman" w:cs="Times New Roman"/>
          <w:b/>
          <w:bCs/>
          <w:i/>
          <w:color w:val="333333"/>
        </w:rPr>
        <w:t>Consiliului</w:t>
      </w:r>
      <w:proofErr w:type="spellEnd"/>
      <w:r w:rsidR="00B25950" w:rsidRPr="00B25950">
        <w:rPr>
          <w:rFonts w:ascii="Times New Roman" w:eastAsia="Times New Roman" w:hAnsi="Times New Roman" w:cs="Times New Roman"/>
          <w:b/>
          <w:bCs/>
          <w:i/>
          <w:color w:val="333333"/>
        </w:rPr>
        <w:t xml:space="preserve"> din 21 </w:t>
      </w:r>
      <w:proofErr w:type="spellStart"/>
      <w:r w:rsidR="00B25950" w:rsidRPr="00B25950">
        <w:rPr>
          <w:rFonts w:ascii="Times New Roman" w:eastAsia="Times New Roman" w:hAnsi="Times New Roman" w:cs="Times New Roman"/>
          <w:b/>
          <w:bCs/>
          <w:i/>
          <w:color w:val="333333"/>
        </w:rPr>
        <w:t>decembrie</w:t>
      </w:r>
      <w:proofErr w:type="spellEnd"/>
      <w:r w:rsidR="00B25950" w:rsidRPr="00B25950">
        <w:rPr>
          <w:rFonts w:ascii="Times New Roman" w:eastAsia="Times New Roman" w:hAnsi="Times New Roman" w:cs="Times New Roman"/>
          <w:b/>
          <w:bCs/>
          <w:i/>
          <w:color w:val="333333"/>
        </w:rPr>
        <w:t xml:space="preserve"> 1989 </w:t>
      </w:r>
      <w:proofErr w:type="spellStart"/>
      <w:r w:rsidR="00B25950" w:rsidRPr="00B25950">
        <w:rPr>
          <w:rFonts w:ascii="Times New Roman" w:eastAsia="Times New Roman" w:hAnsi="Times New Roman" w:cs="Times New Roman"/>
          <w:b/>
          <w:bCs/>
          <w:i/>
          <w:color w:val="333333"/>
        </w:rPr>
        <w:t>privind</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coordonarea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actelor</w:t>
      </w:r>
      <w:proofErr w:type="spellEnd"/>
      <w:r w:rsidR="00B25950" w:rsidRPr="00B25950">
        <w:rPr>
          <w:rFonts w:ascii="Times New Roman" w:eastAsia="Times New Roman" w:hAnsi="Times New Roman" w:cs="Times New Roman"/>
          <w:b/>
          <w:bCs/>
          <w:i/>
          <w:color w:val="333333"/>
        </w:rPr>
        <w:t xml:space="preserve"> cu </w:t>
      </w:r>
      <w:proofErr w:type="spellStart"/>
      <w:r w:rsidR="00B25950" w:rsidRPr="00B25950">
        <w:rPr>
          <w:rFonts w:ascii="Times New Roman" w:eastAsia="Times New Roman" w:hAnsi="Times New Roman" w:cs="Times New Roman"/>
          <w:b/>
          <w:bCs/>
          <w:i/>
          <w:color w:val="333333"/>
        </w:rPr>
        <w:t>putere</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lege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actelor</w:t>
      </w:r>
      <w:proofErr w:type="spellEnd"/>
      <w:r w:rsidR="00B25950" w:rsidRPr="00B25950">
        <w:rPr>
          <w:rFonts w:ascii="Times New Roman" w:eastAsia="Times New Roman" w:hAnsi="Times New Roman" w:cs="Times New Roman"/>
          <w:b/>
          <w:bCs/>
          <w:i/>
          <w:color w:val="333333"/>
        </w:rPr>
        <w:t xml:space="preserve"> administrative </w:t>
      </w:r>
      <w:proofErr w:type="spellStart"/>
      <w:r w:rsidR="00B25950" w:rsidRPr="00B25950">
        <w:rPr>
          <w:rFonts w:ascii="Times New Roman" w:eastAsia="Times New Roman" w:hAnsi="Times New Roman" w:cs="Times New Roman"/>
          <w:b/>
          <w:bCs/>
          <w:i/>
          <w:color w:val="333333"/>
        </w:rPr>
        <w:t>privind</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aplicarea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procedurilor</w:t>
      </w:r>
      <w:proofErr w:type="spellEnd"/>
      <w:r w:rsidR="00B25950" w:rsidRPr="00B25950">
        <w:rPr>
          <w:rFonts w:ascii="Times New Roman" w:eastAsia="Times New Roman" w:hAnsi="Times New Roman" w:cs="Times New Roman"/>
          <w:b/>
          <w:bCs/>
          <w:i/>
          <w:color w:val="333333"/>
        </w:rPr>
        <w:t xml:space="preserve"> care </w:t>
      </w:r>
      <w:proofErr w:type="spellStart"/>
      <w:r w:rsidR="00B25950" w:rsidRPr="00B25950">
        <w:rPr>
          <w:rFonts w:ascii="Times New Roman" w:eastAsia="Times New Roman" w:hAnsi="Times New Roman" w:cs="Times New Roman"/>
          <w:b/>
          <w:bCs/>
          <w:i/>
          <w:color w:val="333333"/>
        </w:rPr>
        <w:t>vizează</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căile</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atac</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față</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atribuirea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contractelor</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achiziții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publice</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produse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contractelor</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publice</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lucrări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astfel</w:t>
      </w:r>
      <w:proofErr w:type="spellEnd"/>
      <w:r w:rsidR="00B25950" w:rsidRPr="00B25950">
        <w:rPr>
          <w:rFonts w:ascii="Times New Roman" w:eastAsia="Times New Roman" w:hAnsi="Times New Roman" w:cs="Times New Roman"/>
          <w:b/>
          <w:bCs/>
          <w:i/>
          <w:color w:val="333333"/>
        </w:rPr>
        <w:t xml:space="preserve"> cum a </w:t>
      </w:r>
      <w:proofErr w:type="spellStart"/>
      <w:r w:rsidR="00B25950" w:rsidRPr="00B25950">
        <w:rPr>
          <w:rFonts w:ascii="Times New Roman" w:eastAsia="Times New Roman" w:hAnsi="Times New Roman" w:cs="Times New Roman"/>
          <w:b/>
          <w:bCs/>
          <w:i/>
          <w:color w:val="333333"/>
        </w:rPr>
        <w:t>fost</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modificată</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prin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Directiva</w:t>
      </w:r>
      <w:proofErr w:type="spellEnd"/>
      <w:r w:rsidR="00B25950" w:rsidRPr="00B25950">
        <w:rPr>
          <w:rFonts w:ascii="Times New Roman" w:eastAsia="Times New Roman" w:hAnsi="Times New Roman" w:cs="Times New Roman"/>
          <w:b/>
          <w:bCs/>
          <w:i/>
          <w:color w:val="333333"/>
        </w:rPr>
        <w:t xml:space="preserve"> 2014/23/UE a </w:t>
      </w:r>
      <w:proofErr w:type="spellStart"/>
      <w:r w:rsidR="00B25950" w:rsidRPr="00B25950">
        <w:rPr>
          <w:rFonts w:ascii="Times New Roman" w:eastAsia="Times New Roman" w:hAnsi="Times New Roman" w:cs="Times New Roman"/>
          <w:b/>
          <w:bCs/>
          <w:i/>
          <w:color w:val="333333"/>
        </w:rPr>
        <w:t>Parlamentului</w:t>
      </w:r>
      <w:proofErr w:type="spellEnd"/>
      <w:r w:rsidR="00B25950" w:rsidRPr="00B25950">
        <w:rPr>
          <w:rFonts w:ascii="Times New Roman" w:eastAsia="Times New Roman" w:hAnsi="Times New Roman" w:cs="Times New Roman"/>
          <w:b/>
          <w:bCs/>
          <w:i/>
          <w:color w:val="333333"/>
        </w:rPr>
        <w:t xml:space="preserve"> European </w:t>
      </w:r>
      <w:proofErr w:type="spellStart"/>
      <w:r w:rsidR="00B25950" w:rsidRPr="00B25950">
        <w:rPr>
          <w:rFonts w:ascii="Times New Roman" w:eastAsia="Times New Roman" w:hAnsi="Times New Roman" w:cs="Times New Roman"/>
          <w:b/>
          <w:bCs/>
          <w:i/>
          <w:color w:val="333333"/>
        </w:rPr>
        <w:t>și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Consiliului</w:t>
      </w:r>
      <w:proofErr w:type="spellEnd"/>
      <w:r w:rsidR="00B25950" w:rsidRPr="00B25950">
        <w:rPr>
          <w:rFonts w:ascii="Times New Roman" w:eastAsia="Times New Roman" w:hAnsi="Times New Roman" w:cs="Times New Roman"/>
          <w:b/>
          <w:bCs/>
          <w:i/>
          <w:color w:val="333333"/>
        </w:rPr>
        <w:t xml:space="preserve"> din 26 </w:t>
      </w:r>
      <w:proofErr w:type="spellStart"/>
      <w:r w:rsidR="00B25950" w:rsidRPr="00B25950">
        <w:rPr>
          <w:rFonts w:ascii="Times New Roman" w:eastAsia="Times New Roman" w:hAnsi="Times New Roman" w:cs="Times New Roman"/>
          <w:b/>
          <w:bCs/>
          <w:i/>
          <w:color w:val="333333"/>
        </w:rPr>
        <w:t>februarie</w:t>
      </w:r>
      <w:proofErr w:type="spellEnd"/>
      <w:r w:rsidR="00B25950" w:rsidRPr="00B25950">
        <w:rPr>
          <w:rFonts w:ascii="Times New Roman" w:eastAsia="Times New Roman" w:hAnsi="Times New Roman" w:cs="Times New Roman"/>
          <w:b/>
          <w:bCs/>
          <w:i/>
          <w:color w:val="333333"/>
        </w:rPr>
        <w:t xml:space="preserve"> 2014, </w:t>
      </w:r>
      <w:proofErr w:type="spellStart"/>
      <w:r w:rsidR="00B25950" w:rsidRPr="00B25950">
        <w:rPr>
          <w:rFonts w:ascii="Times New Roman" w:eastAsia="Times New Roman" w:hAnsi="Times New Roman" w:cs="Times New Roman"/>
          <w:b/>
          <w:bCs/>
          <w:i/>
          <w:color w:val="333333"/>
        </w:rPr>
        <w:t>citit</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în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lumina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articolului</w:t>
      </w:r>
      <w:proofErr w:type="spellEnd"/>
      <w:r w:rsidR="00B25950" w:rsidRPr="00B25950">
        <w:rPr>
          <w:rFonts w:ascii="Times New Roman" w:eastAsia="Times New Roman" w:hAnsi="Times New Roman" w:cs="Times New Roman"/>
          <w:b/>
          <w:bCs/>
          <w:i/>
          <w:color w:val="333333"/>
        </w:rPr>
        <w:t xml:space="preserve"> 47 din Carta </w:t>
      </w:r>
      <w:proofErr w:type="spellStart"/>
      <w:r w:rsidR="00B25950" w:rsidRPr="00B25950">
        <w:rPr>
          <w:rFonts w:ascii="Times New Roman" w:eastAsia="Times New Roman" w:hAnsi="Times New Roman" w:cs="Times New Roman"/>
          <w:b/>
          <w:bCs/>
          <w:i/>
          <w:color w:val="333333"/>
        </w:rPr>
        <w:t>drepturilor</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fundamentale</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Uniunii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Europene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trebuie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interpretate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în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sensul</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că</w:t>
      </w:r>
      <w:proofErr w:type="spellEnd"/>
      <w:r w:rsidR="00B25950" w:rsidRPr="00B25950">
        <w:rPr>
          <w:rFonts w:ascii="Times New Roman" w:eastAsia="Times New Roman" w:hAnsi="Times New Roman" w:cs="Times New Roman"/>
          <w:b/>
          <w:bCs/>
          <w:i/>
          <w:color w:val="333333"/>
        </w:rPr>
        <w:t xml:space="preserve"> nu se </w:t>
      </w:r>
      <w:proofErr w:type="spellStart"/>
      <w:r w:rsidR="00B25950" w:rsidRPr="00B25950">
        <w:rPr>
          <w:rFonts w:ascii="Times New Roman" w:eastAsia="Times New Roman" w:hAnsi="Times New Roman" w:cs="Times New Roman"/>
          <w:b/>
          <w:bCs/>
          <w:i/>
          <w:color w:val="333333"/>
        </w:rPr>
        <w:t>opun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unei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dispoziții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dreptului</w:t>
      </w:r>
      <w:proofErr w:type="spellEnd"/>
      <w:r w:rsidR="00B25950" w:rsidRPr="00B25950">
        <w:rPr>
          <w:rFonts w:ascii="Times New Roman" w:eastAsia="Times New Roman" w:hAnsi="Times New Roman" w:cs="Times New Roman"/>
          <w:b/>
          <w:bCs/>
          <w:i/>
          <w:color w:val="333333"/>
        </w:rPr>
        <w:t xml:space="preserve"> intern al </w:t>
      </w:r>
      <w:proofErr w:type="spellStart"/>
      <w:r w:rsidR="00B25950" w:rsidRPr="00B25950">
        <w:rPr>
          <w:rFonts w:ascii="Times New Roman" w:eastAsia="Times New Roman" w:hAnsi="Times New Roman" w:cs="Times New Roman"/>
          <w:b/>
          <w:bCs/>
          <w:i/>
          <w:color w:val="333333"/>
        </w:rPr>
        <w:t>unui</w:t>
      </w:r>
      <w:proofErr w:type="spellEnd"/>
      <w:r w:rsidR="00B25950" w:rsidRPr="00B25950">
        <w:rPr>
          <w:rFonts w:ascii="Times New Roman" w:eastAsia="Times New Roman" w:hAnsi="Times New Roman" w:cs="Times New Roman"/>
          <w:b/>
          <w:bCs/>
          <w:i/>
          <w:color w:val="333333"/>
        </w:rPr>
        <w:t xml:space="preserve"> stat </w:t>
      </w:r>
      <w:proofErr w:type="spellStart"/>
      <w:r w:rsidR="00B25950" w:rsidRPr="00B25950">
        <w:rPr>
          <w:rFonts w:ascii="Times New Roman" w:eastAsia="Times New Roman" w:hAnsi="Times New Roman" w:cs="Times New Roman"/>
          <w:b/>
          <w:bCs/>
          <w:i/>
          <w:color w:val="333333"/>
        </w:rPr>
        <w:t>membru</w:t>
      </w:r>
      <w:proofErr w:type="spellEnd"/>
      <w:r w:rsidR="00B25950" w:rsidRPr="00B25950">
        <w:rPr>
          <w:rFonts w:ascii="Times New Roman" w:eastAsia="Times New Roman" w:hAnsi="Times New Roman" w:cs="Times New Roman"/>
          <w:b/>
          <w:bCs/>
          <w:i/>
          <w:color w:val="333333"/>
        </w:rPr>
        <w:t xml:space="preserve"> care, </w:t>
      </w:r>
      <w:proofErr w:type="spellStart"/>
      <w:r w:rsidR="00B25950" w:rsidRPr="00B25950">
        <w:rPr>
          <w:rFonts w:ascii="Times New Roman" w:eastAsia="Times New Roman" w:hAnsi="Times New Roman" w:cs="Times New Roman"/>
          <w:b/>
          <w:bCs/>
          <w:i/>
          <w:color w:val="333333"/>
        </w:rPr>
        <w:t>potrivit</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jurisprudenței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naționale</w:t>
      </w:r>
      <w:proofErr w:type="spellEnd"/>
      <w:r w:rsidR="00B25950" w:rsidRPr="00B25950">
        <w:rPr>
          <w:rFonts w:ascii="Times New Roman" w:eastAsia="Times New Roman" w:hAnsi="Times New Roman" w:cs="Times New Roman"/>
          <w:b/>
          <w:bCs/>
          <w:i/>
          <w:color w:val="333333"/>
        </w:rPr>
        <w:t xml:space="preserve">, are </w:t>
      </w:r>
      <w:proofErr w:type="spellStart"/>
      <w:r w:rsidR="00B25950" w:rsidRPr="00B25950">
        <w:rPr>
          <w:rFonts w:ascii="Times New Roman" w:eastAsia="Times New Roman" w:hAnsi="Times New Roman" w:cs="Times New Roman"/>
          <w:b/>
          <w:bCs/>
          <w:i/>
          <w:color w:val="333333"/>
        </w:rPr>
        <w:t>efectul</w:t>
      </w:r>
      <w:proofErr w:type="spellEnd"/>
      <w:r w:rsidR="00B25950" w:rsidRPr="00B25950">
        <w:rPr>
          <w:rFonts w:ascii="Times New Roman" w:eastAsia="Times New Roman" w:hAnsi="Times New Roman" w:cs="Times New Roman"/>
          <w:b/>
          <w:bCs/>
          <w:i/>
          <w:color w:val="333333"/>
        </w:rPr>
        <w:t xml:space="preserve"> ca </w:t>
      </w:r>
      <w:proofErr w:type="spellStart"/>
      <w:r w:rsidR="00B25950" w:rsidRPr="00B25950">
        <w:rPr>
          <w:rFonts w:ascii="Times New Roman" w:eastAsia="Times New Roman" w:hAnsi="Times New Roman" w:cs="Times New Roman"/>
          <w:b/>
          <w:bCs/>
          <w:i/>
          <w:color w:val="333333"/>
        </w:rPr>
        <w:t>justițiabilii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precum</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ofertanții</w:t>
      </w:r>
      <w:proofErr w:type="spellEnd"/>
      <w:r w:rsidR="00B25950" w:rsidRPr="00B25950">
        <w:rPr>
          <w:rFonts w:ascii="Times New Roman" w:eastAsia="Times New Roman" w:hAnsi="Times New Roman" w:cs="Times New Roman"/>
          <w:b/>
          <w:bCs/>
          <w:i/>
          <w:color w:val="333333"/>
        </w:rPr>
        <w:t xml:space="preserve"> care au </w:t>
      </w:r>
      <w:proofErr w:type="spellStart"/>
      <w:r w:rsidR="00B25950" w:rsidRPr="00B25950">
        <w:rPr>
          <w:rFonts w:ascii="Times New Roman" w:eastAsia="Times New Roman" w:hAnsi="Times New Roman" w:cs="Times New Roman"/>
          <w:b/>
          <w:bCs/>
          <w:i/>
          <w:color w:val="333333"/>
        </w:rPr>
        <w:t>participat</w:t>
      </w:r>
      <w:proofErr w:type="spellEnd"/>
      <w:r w:rsidR="00B25950" w:rsidRPr="00B25950">
        <w:rPr>
          <w:rFonts w:ascii="Times New Roman" w:eastAsia="Times New Roman" w:hAnsi="Times New Roman" w:cs="Times New Roman"/>
          <w:b/>
          <w:bCs/>
          <w:i/>
          <w:color w:val="333333"/>
        </w:rPr>
        <w:t xml:space="preserve"> la o </w:t>
      </w:r>
      <w:proofErr w:type="spellStart"/>
      <w:r w:rsidR="00B25950" w:rsidRPr="00B25950">
        <w:rPr>
          <w:rFonts w:ascii="Times New Roman" w:eastAsia="Times New Roman" w:hAnsi="Times New Roman" w:cs="Times New Roman"/>
          <w:b/>
          <w:bCs/>
          <w:i/>
          <w:color w:val="333333"/>
        </w:rPr>
        <w:t>procedură</w:t>
      </w:r>
      <w:proofErr w:type="spellEnd"/>
      <w:r w:rsidR="00B25950" w:rsidRPr="00B25950">
        <w:rPr>
          <w:rFonts w:ascii="Times New Roman" w:eastAsia="Times New Roman" w:hAnsi="Times New Roman" w:cs="Times New Roman"/>
          <w:b/>
          <w:bCs/>
          <w:i/>
          <w:color w:val="333333"/>
        </w:rPr>
        <w:t xml:space="preserve"> de </w:t>
      </w:r>
      <w:proofErr w:type="spellStart"/>
      <w:r w:rsidR="00B25950" w:rsidRPr="00B25950">
        <w:rPr>
          <w:rFonts w:ascii="Times New Roman" w:eastAsia="Times New Roman" w:hAnsi="Times New Roman" w:cs="Times New Roman"/>
          <w:b/>
          <w:bCs/>
          <w:i/>
          <w:color w:val="333333"/>
        </w:rPr>
        <w:t>atribuire</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unui</w:t>
      </w:r>
      <w:proofErr w:type="spellEnd"/>
      <w:r w:rsidR="00B25950" w:rsidRPr="00B25950">
        <w:rPr>
          <w:rFonts w:ascii="Times New Roman" w:eastAsia="Times New Roman" w:hAnsi="Times New Roman" w:cs="Times New Roman"/>
          <w:b/>
          <w:bCs/>
          <w:i/>
          <w:color w:val="333333"/>
        </w:rPr>
        <w:t xml:space="preserve"> contract de </w:t>
      </w:r>
      <w:proofErr w:type="spellStart"/>
      <w:r w:rsidR="00B25950" w:rsidRPr="00B25950">
        <w:rPr>
          <w:rFonts w:ascii="Times New Roman" w:eastAsia="Times New Roman" w:hAnsi="Times New Roman" w:cs="Times New Roman"/>
          <w:b/>
          <w:bCs/>
          <w:i/>
          <w:color w:val="333333"/>
        </w:rPr>
        <w:t>achiziții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publice</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să</w:t>
      </w:r>
      <w:proofErr w:type="spellEnd"/>
      <w:r w:rsidR="00B25950" w:rsidRPr="00B25950">
        <w:rPr>
          <w:rFonts w:ascii="Times New Roman" w:eastAsia="Times New Roman" w:hAnsi="Times New Roman" w:cs="Times New Roman"/>
          <w:b/>
          <w:bCs/>
          <w:i/>
          <w:color w:val="333333"/>
        </w:rPr>
        <w:t xml:space="preserve"> nu </w:t>
      </w:r>
      <w:proofErr w:type="spellStart"/>
      <w:r w:rsidR="00B25950" w:rsidRPr="00B25950">
        <w:rPr>
          <w:rFonts w:ascii="Times New Roman" w:eastAsia="Times New Roman" w:hAnsi="Times New Roman" w:cs="Times New Roman"/>
          <w:b/>
          <w:bCs/>
          <w:i/>
          <w:color w:val="333333"/>
        </w:rPr>
        <w:t>poată</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contesta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conformitatea</w:t>
      </w:r>
      <w:proofErr w:type="spellEnd"/>
      <w:r w:rsidR="00B25950" w:rsidRPr="00B25950">
        <w:rPr>
          <w:rFonts w:ascii="Times New Roman" w:eastAsia="Times New Roman" w:hAnsi="Times New Roman" w:cs="Times New Roman"/>
          <w:b/>
          <w:bCs/>
          <w:i/>
          <w:color w:val="333333"/>
        </w:rPr>
        <w:t xml:space="preserve"> cu </w:t>
      </w:r>
      <w:proofErr w:type="spellStart"/>
      <w:r w:rsidR="00B25950" w:rsidRPr="00B25950">
        <w:rPr>
          <w:rFonts w:ascii="Times New Roman" w:eastAsia="Times New Roman" w:hAnsi="Times New Roman" w:cs="Times New Roman"/>
          <w:b/>
          <w:bCs/>
          <w:i/>
          <w:color w:val="333333"/>
        </w:rPr>
        <w:t>dreptul</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Uniunii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unei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hotărâri</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instanței</w:t>
      </w:r>
      <w:proofErr w:type="spellEnd"/>
      <w:r w:rsidR="00B25950" w:rsidRPr="00B25950">
        <w:rPr>
          <w:rFonts w:ascii="Times New Roman" w:eastAsia="Times New Roman" w:hAnsi="Times New Roman" w:cs="Times New Roman"/>
          <w:b/>
          <w:bCs/>
          <w:i/>
          <w:color w:val="333333"/>
        </w:rPr>
        <w:t xml:space="preserve"> supreme din </w:t>
      </w:r>
      <w:proofErr w:type="spellStart"/>
      <w:r w:rsidR="00B25950" w:rsidRPr="00B25950">
        <w:rPr>
          <w:rFonts w:ascii="Times New Roman" w:eastAsia="Times New Roman" w:hAnsi="Times New Roman" w:cs="Times New Roman"/>
          <w:b/>
          <w:bCs/>
          <w:i/>
          <w:color w:val="333333"/>
        </w:rPr>
        <w:t>ordinea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administrativă</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acestui</w:t>
      </w:r>
      <w:proofErr w:type="spellEnd"/>
      <w:r w:rsidR="00B25950" w:rsidRPr="00B25950">
        <w:rPr>
          <w:rFonts w:ascii="Times New Roman" w:eastAsia="Times New Roman" w:hAnsi="Times New Roman" w:cs="Times New Roman"/>
          <w:b/>
          <w:bCs/>
          <w:i/>
          <w:color w:val="333333"/>
        </w:rPr>
        <w:t xml:space="preserve"> stat </w:t>
      </w:r>
      <w:proofErr w:type="spellStart"/>
      <w:r w:rsidR="00B25950" w:rsidRPr="00B25950">
        <w:rPr>
          <w:rFonts w:ascii="Times New Roman" w:eastAsia="Times New Roman" w:hAnsi="Times New Roman" w:cs="Times New Roman"/>
          <w:b/>
          <w:bCs/>
          <w:i/>
          <w:color w:val="333333"/>
        </w:rPr>
        <w:t>membru</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în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cadrul</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unui</w:t>
      </w:r>
      <w:proofErr w:type="spellEnd"/>
      <w:r w:rsidR="00B25950" w:rsidRPr="00B25950">
        <w:rPr>
          <w:rFonts w:ascii="Times New Roman" w:eastAsia="Times New Roman" w:hAnsi="Times New Roman" w:cs="Times New Roman"/>
          <w:b/>
          <w:bCs/>
          <w:i/>
          <w:color w:val="333333"/>
        </w:rPr>
        <w:t xml:space="preserve"> recurs </w:t>
      </w:r>
      <w:proofErr w:type="spellStart"/>
      <w:r w:rsidR="00B25950" w:rsidRPr="00B25950">
        <w:rPr>
          <w:rFonts w:ascii="Times New Roman" w:eastAsia="Times New Roman" w:hAnsi="Times New Roman" w:cs="Times New Roman"/>
          <w:b/>
          <w:bCs/>
          <w:i/>
          <w:color w:val="333333"/>
        </w:rPr>
        <w:t>în</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fața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instanței</w:t>
      </w:r>
      <w:proofErr w:type="spellEnd"/>
      <w:r w:rsidR="00B25950" w:rsidRPr="00B25950">
        <w:rPr>
          <w:rFonts w:ascii="Times New Roman" w:eastAsia="Times New Roman" w:hAnsi="Times New Roman" w:cs="Times New Roman"/>
          <w:b/>
          <w:bCs/>
          <w:i/>
          <w:color w:val="333333"/>
        </w:rPr>
        <w:t xml:space="preserve"> supreme din </w:t>
      </w:r>
      <w:proofErr w:type="spellStart"/>
      <w:r w:rsidR="00B25950" w:rsidRPr="00B25950">
        <w:rPr>
          <w:rFonts w:ascii="Times New Roman" w:eastAsia="Times New Roman" w:hAnsi="Times New Roman" w:cs="Times New Roman"/>
          <w:b/>
          <w:bCs/>
          <w:i/>
          <w:color w:val="333333"/>
        </w:rPr>
        <w:t>ordinea</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judiciară</w:t>
      </w:r>
      <w:proofErr w:type="spellEnd"/>
      <w:r w:rsidR="00B25950" w:rsidRPr="00B25950">
        <w:rPr>
          <w:rFonts w:ascii="Times New Roman" w:eastAsia="Times New Roman" w:hAnsi="Times New Roman" w:cs="Times New Roman"/>
          <w:b/>
          <w:bCs/>
          <w:i/>
          <w:color w:val="333333"/>
        </w:rPr>
        <w:t xml:space="preserve"> a </w:t>
      </w:r>
      <w:proofErr w:type="spellStart"/>
      <w:r w:rsidR="00B25950" w:rsidRPr="00B25950">
        <w:rPr>
          <w:rFonts w:ascii="Times New Roman" w:eastAsia="Times New Roman" w:hAnsi="Times New Roman" w:cs="Times New Roman"/>
          <w:b/>
          <w:bCs/>
          <w:i/>
          <w:color w:val="333333"/>
        </w:rPr>
        <w:t>statului</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membru</w:t>
      </w:r>
      <w:proofErr w:type="spellEnd"/>
      <w:r w:rsidR="00B25950" w:rsidRPr="00B25950">
        <w:rPr>
          <w:rFonts w:ascii="Times New Roman" w:eastAsia="Times New Roman" w:hAnsi="Times New Roman" w:cs="Times New Roman"/>
          <w:b/>
          <w:bCs/>
          <w:i/>
          <w:color w:val="333333"/>
        </w:rPr>
        <w:t xml:space="preserve"> </w:t>
      </w:r>
      <w:proofErr w:type="spellStart"/>
      <w:r w:rsidR="00B25950" w:rsidRPr="00B25950">
        <w:rPr>
          <w:rFonts w:ascii="Times New Roman" w:eastAsia="Times New Roman" w:hAnsi="Times New Roman" w:cs="Times New Roman"/>
          <w:b/>
          <w:bCs/>
          <w:i/>
          <w:color w:val="333333"/>
        </w:rPr>
        <w:t>menționat</w:t>
      </w:r>
      <w:proofErr w:type="spellEnd"/>
      <w:r w:rsidR="00B25950" w:rsidRPr="00B25950">
        <w:rPr>
          <w:rFonts w:ascii="Times New Roman" w:eastAsia="Times New Roman" w:hAnsi="Times New Roman" w:cs="Times New Roman"/>
          <w:b/>
          <w:bCs/>
          <w:i/>
          <w:color w:val="333333"/>
        </w:rPr>
        <w:t>.</w:t>
      </w:r>
      <w:r w:rsidR="00F00B6A" w:rsidRPr="00F00B6A">
        <w:rPr>
          <w:rFonts w:ascii="Arial" w:hAnsi="Arial" w:cs="Arial"/>
          <w:b/>
          <w:bCs/>
          <w:color w:val="000000"/>
          <w:sz w:val="18"/>
          <w:szCs w:val="18"/>
        </w:rPr>
        <w:t>”</w:t>
      </w:r>
    </w:p>
    <w:p w:rsidR="00F00B6A" w:rsidRPr="00F00B6A" w:rsidRDefault="00F00B6A" w:rsidP="00F00B6A">
      <w:pPr>
        <w:spacing w:before="120" w:after="120" w:line="276" w:lineRule="auto"/>
        <w:jc w:val="both"/>
        <w:rPr>
          <w:rFonts w:ascii="Times New Roman" w:eastAsia="Times New Roman" w:hAnsi="Times New Roman" w:cs="Times New Roman"/>
          <w:b/>
          <w:bCs/>
          <w:i/>
          <w:color w:val="333333"/>
        </w:rPr>
      </w:pPr>
    </w:p>
    <w:sectPr w:rsidR="00F00B6A" w:rsidRPr="00F00B6A"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16" w:rsidRDefault="00680216" w:rsidP="004F21C1">
      <w:pPr>
        <w:spacing w:after="0" w:line="240" w:lineRule="auto"/>
      </w:pPr>
      <w:r>
        <w:separator/>
      </w:r>
    </w:p>
  </w:endnote>
  <w:endnote w:type="continuationSeparator" w:id="0">
    <w:p w:rsidR="00680216" w:rsidRDefault="00680216"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A67A18">
          <w:rPr>
            <w:noProof/>
          </w:rPr>
          <w:t>3</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16" w:rsidRDefault="00680216" w:rsidP="004F21C1">
      <w:pPr>
        <w:spacing w:after="0" w:line="240" w:lineRule="auto"/>
      </w:pPr>
      <w:r>
        <w:separator/>
      </w:r>
    </w:p>
  </w:footnote>
  <w:footnote w:type="continuationSeparator" w:id="0">
    <w:p w:rsidR="00680216" w:rsidRDefault="00680216"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272E"/>
    <w:rsid w:val="00036A89"/>
    <w:rsid w:val="00045265"/>
    <w:rsid w:val="00047E32"/>
    <w:rsid w:val="00056BEC"/>
    <w:rsid w:val="00057BF1"/>
    <w:rsid w:val="00063E69"/>
    <w:rsid w:val="0009262E"/>
    <w:rsid w:val="000B1178"/>
    <w:rsid w:val="000E48C9"/>
    <w:rsid w:val="000F6780"/>
    <w:rsid w:val="000F68A0"/>
    <w:rsid w:val="00105A7C"/>
    <w:rsid w:val="00110627"/>
    <w:rsid w:val="00117D0B"/>
    <w:rsid w:val="00130F3F"/>
    <w:rsid w:val="00131E4E"/>
    <w:rsid w:val="00134A15"/>
    <w:rsid w:val="001374F9"/>
    <w:rsid w:val="00144B4B"/>
    <w:rsid w:val="0019474F"/>
    <w:rsid w:val="00195D9A"/>
    <w:rsid w:val="001D0DD4"/>
    <w:rsid w:val="001D6B0F"/>
    <w:rsid w:val="001F35E4"/>
    <w:rsid w:val="00240A2E"/>
    <w:rsid w:val="00240ECB"/>
    <w:rsid w:val="002453B6"/>
    <w:rsid w:val="00254B13"/>
    <w:rsid w:val="00262E38"/>
    <w:rsid w:val="00267190"/>
    <w:rsid w:val="00291728"/>
    <w:rsid w:val="00296292"/>
    <w:rsid w:val="002A043E"/>
    <w:rsid w:val="002B29AE"/>
    <w:rsid w:val="002B4E9B"/>
    <w:rsid w:val="003023CF"/>
    <w:rsid w:val="00326115"/>
    <w:rsid w:val="00340CE2"/>
    <w:rsid w:val="0035231A"/>
    <w:rsid w:val="00353C38"/>
    <w:rsid w:val="00375B7D"/>
    <w:rsid w:val="0037684A"/>
    <w:rsid w:val="003A5763"/>
    <w:rsid w:val="003B310B"/>
    <w:rsid w:val="003C0EC1"/>
    <w:rsid w:val="003D1E11"/>
    <w:rsid w:val="003F2782"/>
    <w:rsid w:val="00401860"/>
    <w:rsid w:val="004111FC"/>
    <w:rsid w:val="004370B2"/>
    <w:rsid w:val="0046012B"/>
    <w:rsid w:val="004611B3"/>
    <w:rsid w:val="004668DB"/>
    <w:rsid w:val="00490EDC"/>
    <w:rsid w:val="004951D2"/>
    <w:rsid w:val="004A0E05"/>
    <w:rsid w:val="004B6570"/>
    <w:rsid w:val="004F21C1"/>
    <w:rsid w:val="00502C68"/>
    <w:rsid w:val="00513FCC"/>
    <w:rsid w:val="005261C6"/>
    <w:rsid w:val="00530DD9"/>
    <w:rsid w:val="005319E8"/>
    <w:rsid w:val="005409DE"/>
    <w:rsid w:val="00543C22"/>
    <w:rsid w:val="00556C8B"/>
    <w:rsid w:val="005620F8"/>
    <w:rsid w:val="00565876"/>
    <w:rsid w:val="005756DC"/>
    <w:rsid w:val="00585396"/>
    <w:rsid w:val="005B5438"/>
    <w:rsid w:val="0062377B"/>
    <w:rsid w:val="00643D07"/>
    <w:rsid w:val="006475C4"/>
    <w:rsid w:val="006513FA"/>
    <w:rsid w:val="00664660"/>
    <w:rsid w:val="00664C4A"/>
    <w:rsid w:val="00666313"/>
    <w:rsid w:val="00680216"/>
    <w:rsid w:val="00695894"/>
    <w:rsid w:val="006A0EC0"/>
    <w:rsid w:val="006B31B9"/>
    <w:rsid w:val="006B461D"/>
    <w:rsid w:val="006B5827"/>
    <w:rsid w:val="006B6EC3"/>
    <w:rsid w:val="006C30F2"/>
    <w:rsid w:val="006D3F38"/>
    <w:rsid w:val="006E2077"/>
    <w:rsid w:val="006F1E30"/>
    <w:rsid w:val="00703666"/>
    <w:rsid w:val="00714029"/>
    <w:rsid w:val="00722CE2"/>
    <w:rsid w:val="0075300B"/>
    <w:rsid w:val="007654D1"/>
    <w:rsid w:val="0077192E"/>
    <w:rsid w:val="00773B31"/>
    <w:rsid w:val="00781285"/>
    <w:rsid w:val="0079274F"/>
    <w:rsid w:val="00794A33"/>
    <w:rsid w:val="007C0350"/>
    <w:rsid w:val="007C07BB"/>
    <w:rsid w:val="007C3939"/>
    <w:rsid w:val="007D00C0"/>
    <w:rsid w:val="007D288D"/>
    <w:rsid w:val="007E67E9"/>
    <w:rsid w:val="007E76D9"/>
    <w:rsid w:val="007F1DEE"/>
    <w:rsid w:val="00815C37"/>
    <w:rsid w:val="00836F0E"/>
    <w:rsid w:val="0084575C"/>
    <w:rsid w:val="00851DA6"/>
    <w:rsid w:val="008705D3"/>
    <w:rsid w:val="00883A1A"/>
    <w:rsid w:val="00883E7F"/>
    <w:rsid w:val="00886DBB"/>
    <w:rsid w:val="00897C14"/>
    <w:rsid w:val="008B1257"/>
    <w:rsid w:val="008D07B2"/>
    <w:rsid w:val="008D0D42"/>
    <w:rsid w:val="008D1DA0"/>
    <w:rsid w:val="008D247A"/>
    <w:rsid w:val="008E6B08"/>
    <w:rsid w:val="0090591D"/>
    <w:rsid w:val="00914F9C"/>
    <w:rsid w:val="00931470"/>
    <w:rsid w:val="0093517F"/>
    <w:rsid w:val="00937DA2"/>
    <w:rsid w:val="00940A5C"/>
    <w:rsid w:val="00946AE2"/>
    <w:rsid w:val="00947E92"/>
    <w:rsid w:val="009507CB"/>
    <w:rsid w:val="0097561C"/>
    <w:rsid w:val="009923EA"/>
    <w:rsid w:val="00993DC5"/>
    <w:rsid w:val="009A7338"/>
    <w:rsid w:val="009D0708"/>
    <w:rsid w:val="009D7431"/>
    <w:rsid w:val="009F20B7"/>
    <w:rsid w:val="00A019DE"/>
    <w:rsid w:val="00A01D77"/>
    <w:rsid w:val="00A03CE9"/>
    <w:rsid w:val="00A31597"/>
    <w:rsid w:val="00A360F3"/>
    <w:rsid w:val="00A40D4B"/>
    <w:rsid w:val="00A43B1D"/>
    <w:rsid w:val="00A5491A"/>
    <w:rsid w:val="00A56F94"/>
    <w:rsid w:val="00A60711"/>
    <w:rsid w:val="00A63E0E"/>
    <w:rsid w:val="00A6737B"/>
    <w:rsid w:val="00A67A18"/>
    <w:rsid w:val="00A735AB"/>
    <w:rsid w:val="00A8744D"/>
    <w:rsid w:val="00AC5729"/>
    <w:rsid w:val="00AD0393"/>
    <w:rsid w:val="00AD0637"/>
    <w:rsid w:val="00AE307B"/>
    <w:rsid w:val="00B25950"/>
    <w:rsid w:val="00B3364A"/>
    <w:rsid w:val="00B45E53"/>
    <w:rsid w:val="00B5448C"/>
    <w:rsid w:val="00B62D85"/>
    <w:rsid w:val="00B8108B"/>
    <w:rsid w:val="00B831A5"/>
    <w:rsid w:val="00B90EEC"/>
    <w:rsid w:val="00BA1415"/>
    <w:rsid w:val="00BA7EC7"/>
    <w:rsid w:val="00BB1BD2"/>
    <w:rsid w:val="00BC23D4"/>
    <w:rsid w:val="00BC316D"/>
    <w:rsid w:val="00BD42FB"/>
    <w:rsid w:val="00BF70B0"/>
    <w:rsid w:val="00C038B2"/>
    <w:rsid w:val="00C20FAF"/>
    <w:rsid w:val="00C345E5"/>
    <w:rsid w:val="00C35D1B"/>
    <w:rsid w:val="00C573B8"/>
    <w:rsid w:val="00C64CAD"/>
    <w:rsid w:val="00C72FEB"/>
    <w:rsid w:val="00C90DEC"/>
    <w:rsid w:val="00C91BFB"/>
    <w:rsid w:val="00C962C1"/>
    <w:rsid w:val="00CA2913"/>
    <w:rsid w:val="00CB6B36"/>
    <w:rsid w:val="00CD438A"/>
    <w:rsid w:val="00CE2C38"/>
    <w:rsid w:val="00CE78F8"/>
    <w:rsid w:val="00CE7D4B"/>
    <w:rsid w:val="00CF298F"/>
    <w:rsid w:val="00D15723"/>
    <w:rsid w:val="00D31CAB"/>
    <w:rsid w:val="00D36C29"/>
    <w:rsid w:val="00D557B7"/>
    <w:rsid w:val="00D57134"/>
    <w:rsid w:val="00D60C72"/>
    <w:rsid w:val="00D75A43"/>
    <w:rsid w:val="00DA00E6"/>
    <w:rsid w:val="00DA42A4"/>
    <w:rsid w:val="00DA4D37"/>
    <w:rsid w:val="00DC022B"/>
    <w:rsid w:val="00DD6ACD"/>
    <w:rsid w:val="00DF65D4"/>
    <w:rsid w:val="00E005BC"/>
    <w:rsid w:val="00E10EF5"/>
    <w:rsid w:val="00E305E6"/>
    <w:rsid w:val="00E4139E"/>
    <w:rsid w:val="00E6780D"/>
    <w:rsid w:val="00E67A07"/>
    <w:rsid w:val="00E77504"/>
    <w:rsid w:val="00E80CAA"/>
    <w:rsid w:val="00EA1C8A"/>
    <w:rsid w:val="00EC09DE"/>
    <w:rsid w:val="00EC36E4"/>
    <w:rsid w:val="00ED3E8A"/>
    <w:rsid w:val="00EE5157"/>
    <w:rsid w:val="00EE5331"/>
    <w:rsid w:val="00F00B6A"/>
    <w:rsid w:val="00F0141C"/>
    <w:rsid w:val="00F112F6"/>
    <w:rsid w:val="00F16D18"/>
    <w:rsid w:val="00F3045E"/>
    <w:rsid w:val="00F3081C"/>
    <w:rsid w:val="00F340D0"/>
    <w:rsid w:val="00F644A2"/>
    <w:rsid w:val="00F7404B"/>
    <w:rsid w:val="00F80781"/>
    <w:rsid w:val="00F85D12"/>
    <w:rsid w:val="00F95376"/>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3</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198</cp:revision>
  <cp:lastPrinted>2018-10-19T07:22:00Z</cp:lastPrinted>
  <dcterms:created xsi:type="dcterms:W3CDTF">2018-10-19T06:05:00Z</dcterms:created>
  <dcterms:modified xsi:type="dcterms:W3CDTF">2021-12-22T11:11:00Z</dcterms:modified>
</cp:coreProperties>
</file>