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8C" w:rsidRPr="00346233" w:rsidRDefault="00117D0B" w:rsidP="00117D0B">
      <w:pPr>
        <w:tabs>
          <w:tab w:val="left" w:pos="3705"/>
          <w:tab w:val="center" w:pos="5085"/>
        </w:tabs>
        <w:spacing w:before="120" w:after="120" w:line="276" w:lineRule="auto"/>
        <w:rPr>
          <w:rFonts w:ascii="Times New Roman" w:hAnsi="Times New Roman" w:cs="Times New Roman"/>
          <w:b/>
          <w:lang w:val="ro-RO"/>
        </w:rPr>
      </w:pPr>
      <w:r w:rsidRPr="00346233">
        <w:rPr>
          <w:rFonts w:ascii="Times New Roman" w:hAnsi="Times New Roman" w:cs="Times New Roman"/>
          <w:b/>
          <w:lang w:val="ro-RO"/>
        </w:rPr>
        <w:tab/>
      </w:r>
      <w:r w:rsidRPr="00346233">
        <w:rPr>
          <w:rFonts w:ascii="Times New Roman" w:hAnsi="Times New Roman" w:cs="Times New Roman"/>
          <w:b/>
          <w:lang w:val="ro-RO"/>
        </w:rPr>
        <w:tab/>
      </w:r>
      <w:r w:rsidR="00414957" w:rsidRPr="00346233">
        <w:rPr>
          <w:rFonts w:ascii="Times New Roman" w:hAnsi="Times New Roman" w:cs="Times New Roman"/>
          <w:b/>
          <w:lang w:val="ro-RO"/>
        </w:rPr>
        <w:t xml:space="preserve">Cauza </w:t>
      </w:r>
      <w:r w:rsidR="00C91759" w:rsidRPr="00346233">
        <w:rPr>
          <w:rFonts w:ascii="Times New Roman" w:hAnsi="Times New Roman" w:cs="Times New Roman"/>
          <w:b/>
          <w:lang w:val="ro-RO"/>
        </w:rPr>
        <w:t>C-927/19</w:t>
      </w:r>
    </w:p>
    <w:p w:rsidR="00C91759" w:rsidRPr="00346233" w:rsidRDefault="00C91759" w:rsidP="007E7C01">
      <w:pPr>
        <w:tabs>
          <w:tab w:val="left" w:pos="3705"/>
          <w:tab w:val="center" w:pos="5085"/>
        </w:tabs>
        <w:spacing w:before="120" w:after="120" w:line="276" w:lineRule="auto"/>
        <w:jc w:val="center"/>
        <w:rPr>
          <w:rFonts w:ascii="Times New Roman" w:eastAsia="Times New Roman" w:hAnsi="Times New Roman" w:cs="Times New Roman"/>
          <w:color w:val="000000"/>
          <w:sz w:val="24"/>
          <w:szCs w:val="24"/>
        </w:rPr>
      </w:pPr>
      <w:r w:rsidRPr="00346233">
        <w:rPr>
          <w:rFonts w:ascii="Times New Roman" w:eastAsia="Times New Roman" w:hAnsi="Times New Roman" w:cs="Times New Roman"/>
          <w:color w:val="000000"/>
          <w:sz w:val="24"/>
          <w:szCs w:val="24"/>
        </w:rPr>
        <w:t>Lietuvos Aukščiausiasis Teismas - „Klaipėdos regiono atliekų tvarkymo centras” UAB/„Ecoservice Klaipėda” UAB, „Klaipėdos autobusų parkas” UAB, „Parsekas” UAB, „Klaipėdos transportas” UAB</w:t>
      </w:r>
    </w:p>
    <w:p w:rsidR="00C91759" w:rsidRPr="00346233" w:rsidRDefault="004B04E8" w:rsidP="00C91759">
      <w:pPr>
        <w:tabs>
          <w:tab w:val="left" w:pos="3705"/>
          <w:tab w:val="center" w:pos="5085"/>
        </w:tabs>
        <w:spacing w:before="120" w:after="120" w:line="276" w:lineRule="auto"/>
        <w:jc w:val="center"/>
        <w:rPr>
          <w:rFonts w:ascii="Times New Roman" w:hAnsi="Times New Roman" w:cs="Times New Roman"/>
          <w:b/>
          <w:lang w:val="ro-RO"/>
        </w:rPr>
      </w:pPr>
      <w:r w:rsidRPr="00346233">
        <w:rPr>
          <w:rFonts w:ascii="Times New Roman" w:hAnsi="Times New Roman" w:cs="Times New Roman"/>
          <w:b/>
          <w:lang w:val="ro-RO"/>
        </w:rPr>
        <w:t>H</w:t>
      </w:r>
      <w:r w:rsidR="002C438C" w:rsidRPr="00346233">
        <w:rPr>
          <w:rFonts w:ascii="Times New Roman" w:hAnsi="Times New Roman" w:cs="Times New Roman"/>
          <w:b/>
          <w:lang w:val="ro-RO"/>
        </w:rPr>
        <w:t>otărârea</w:t>
      </w:r>
      <w:r w:rsidR="008D247A" w:rsidRPr="00346233">
        <w:rPr>
          <w:rFonts w:ascii="Times New Roman" w:hAnsi="Times New Roman" w:cs="Times New Roman"/>
          <w:b/>
          <w:lang w:val="ro-RO"/>
        </w:rPr>
        <w:t xml:space="preserve"> Curții </w:t>
      </w:r>
      <w:r w:rsidR="00C91759" w:rsidRPr="00346233">
        <w:rPr>
          <w:rFonts w:ascii="Times New Roman" w:hAnsi="Times New Roman" w:cs="Times New Roman"/>
          <w:b/>
          <w:lang w:val="ro-RO"/>
        </w:rPr>
        <w:t>(Marea Cameră)</w:t>
      </w:r>
    </w:p>
    <w:p w:rsidR="00414957" w:rsidRPr="00346233" w:rsidRDefault="00C91759" w:rsidP="00C91759">
      <w:pPr>
        <w:tabs>
          <w:tab w:val="left" w:pos="3705"/>
          <w:tab w:val="center" w:pos="5085"/>
        </w:tabs>
        <w:spacing w:before="120" w:after="120" w:line="276" w:lineRule="auto"/>
        <w:jc w:val="center"/>
        <w:rPr>
          <w:rFonts w:ascii="Times New Roman" w:hAnsi="Times New Roman" w:cs="Times New Roman"/>
          <w:b/>
          <w:lang w:val="ro-RO"/>
        </w:rPr>
      </w:pPr>
      <w:r w:rsidRPr="00346233">
        <w:rPr>
          <w:rFonts w:ascii="Times New Roman" w:hAnsi="Times New Roman" w:cs="Times New Roman"/>
          <w:b/>
          <w:lang w:val="ro-RO"/>
        </w:rPr>
        <w:t>7 septembrie 2021</w:t>
      </w:r>
    </w:p>
    <w:p w:rsidR="004C388A" w:rsidRPr="00346233" w:rsidRDefault="003023CF" w:rsidP="00AC5729">
      <w:pPr>
        <w:spacing w:before="120" w:after="120" w:line="276" w:lineRule="auto"/>
        <w:jc w:val="both"/>
        <w:rPr>
          <w:rFonts w:ascii="Times New Roman" w:hAnsi="Times New Roman" w:cs="Times New Roman"/>
        </w:rPr>
      </w:pPr>
      <w:r w:rsidRPr="00346233">
        <w:rPr>
          <w:rFonts w:ascii="Times New Roman" w:hAnsi="Times New Roman" w:cs="Times New Roman"/>
          <w:b/>
          <w:lang w:val="ro-RO"/>
        </w:rPr>
        <w:t>Identificator</w:t>
      </w:r>
      <w:r w:rsidR="009A7338" w:rsidRPr="00346233">
        <w:rPr>
          <w:rFonts w:ascii="Times New Roman" w:hAnsi="Times New Roman" w:cs="Times New Roman"/>
          <w:b/>
          <w:lang w:val="ro-RO"/>
        </w:rPr>
        <w:t xml:space="preserve"> ECLI</w:t>
      </w:r>
      <w:r w:rsidR="003A5763" w:rsidRPr="00346233">
        <w:rPr>
          <w:rFonts w:ascii="Times New Roman" w:hAnsi="Times New Roman" w:cs="Times New Roman"/>
          <w:b/>
          <w:lang w:val="ro-RO"/>
        </w:rPr>
        <w:t>:</w:t>
      </w:r>
      <w:r w:rsidR="0030692D" w:rsidRPr="00346233">
        <w:rPr>
          <w:rFonts w:ascii="Times New Roman" w:hAnsi="Times New Roman" w:cs="Times New Roman"/>
        </w:rPr>
        <w:t xml:space="preserve"> </w:t>
      </w:r>
      <w:r w:rsidR="008063D8" w:rsidRPr="00346233">
        <w:rPr>
          <w:rFonts w:ascii="Times New Roman" w:hAnsi="Times New Roman" w:cs="Times New Roman"/>
        </w:rPr>
        <w:t>ECLI:EU:C:2021:700</w:t>
      </w:r>
    </w:p>
    <w:p w:rsidR="00AE342B" w:rsidRPr="00346233" w:rsidRDefault="003A5763" w:rsidP="004951D2">
      <w:pPr>
        <w:spacing w:before="120" w:after="120" w:line="276" w:lineRule="auto"/>
        <w:jc w:val="both"/>
        <w:rPr>
          <w:rFonts w:ascii="Times New Roman" w:hAnsi="Times New Roman" w:cs="Times New Roman"/>
          <w:lang w:val="ro-RO"/>
        </w:rPr>
      </w:pPr>
      <w:r w:rsidRPr="00346233">
        <w:rPr>
          <w:rFonts w:ascii="Times New Roman" w:hAnsi="Times New Roman" w:cs="Times New Roman"/>
          <w:b/>
          <w:lang w:val="ro-RO"/>
        </w:rPr>
        <w:t>EUR-Lex</w:t>
      </w:r>
      <w:r w:rsidRPr="00346233">
        <w:rPr>
          <w:rFonts w:ascii="Times New Roman" w:hAnsi="Times New Roman" w:cs="Times New Roman"/>
          <w:lang w:val="ro-RO"/>
        </w:rPr>
        <w:t xml:space="preserve">: </w:t>
      </w:r>
      <w:r w:rsidR="00BD6A59" w:rsidRPr="00346233">
        <w:rPr>
          <w:rFonts w:ascii="Times New Roman" w:hAnsi="Times New Roman" w:cs="Times New Roman"/>
          <w:lang w:val="ro-RO"/>
        </w:rPr>
        <w:t>62019CJ0927</w:t>
      </w:r>
    </w:p>
    <w:p w:rsidR="002C438C" w:rsidRPr="00346233" w:rsidRDefault="004951D2" w:rsidP="004951D2">
      <w:pPr>
        <w:spacing w:before="120" w:after="120" w:line="276" w:lineRule="auto"/>
        <w:jc w:val="both"/>
        <w:rPr>
          <w:rFonts w:ascii="Times New Roman" w:hAnsi="Times New Roman" w:cs="Times New Roman"/>
          <w:lang w:val="ro-RO"/>
        </w:rPr>
      </w:pPr>
      <w:r w:rsidRPr="00346233">
        <w:rPr>
          <w:rFonts w:ascii="Times New Roman" w:hAnsi="Times New Roman" w:cs="Times New Roman"/>
          <w:b/>
          <w:lang w:val="ro-RO"/>
        </w:rPr>
        <w:t xml:space="preserve">Tip procedură: </w:t>
      </w:r>
      <w:r w:rsidR="00A55ADE" w:rsidRPr="00346233">
        <w:rPr>
          <w:rFonts w:ascii="Times New Roman" w:hAnsi="Times New Roman" w:cs="Times New Roman"/>
          <w:lang w:val="ro-RO"/>
        </w:rPr>
        <w:t>cerere de pronunţare a unei decizii preliminare</w:t>
      </w:r>
    </w:p>
    <w:p w:rsidR="00340CE2" w:rsidRPr="00346233" w:rsidRDefault="00340CE2" w:rsidP="004951D2">
      <w:pPr>
        <w:spacing w:before="120" w:after="120" w:line="276" w:lineRule="auto"/>
        <w:jc w:val="both"/>
        <w:rPr>
          <w:rFonts w:ascii="Times New Roman" w:hAnsi="Times New Roman" w:cs="Times New Roman"/>
          <w:lang w:val="ro-RO"/>
        </w:rPr>
      </w:pPr>
      <w:r w:rsidRPr="00346233">
        <w:rPr>
          <w:rFonts w:ascii="Times New Roman" w:hAnsi="Times New Roman" w:cs="Times New Roman"/>
          <w:b/>
          <w:lang w:val="ro-RO"/>
        </w:rPr>
        <w:t>Materie</w:t>
      </w:r>
      <w:r w:rsidRPr="00346233">
        <w:rPr>
          <w:rFonts w:ascii="Times New Roman" w:hAnsi="Times New Roman" w:cs="Times New Roman"/>
          <w:lang w:val="ro-RO"/>
        </w:rPr>
        <w:t>:</w:t>
      </w:r>
      <w:r w:rsidRPr="00346233">
        <w:rPr>
          <w:rFonts w:ascii="Times New Roman" w:hAnsi="Times New Roman" w:cs="Times New Roman"/>
        </w:rPr>
        <w:t xml:space="preserve"> </w:t>
      </w:r>
      <w:r w:rsidR="00A55ADE" w:rsidRPr="00346233">
        <w:rPr>
          <w:rFonts w:ascii="Times New Roman" w:hAnsi="Times New Roman" w:cs="Times New Roman"/>
          <w:lang w:val="ro-RO"/>
        </w:rPr>
        <w:t>libertatea de reglementare, libera prestare a serviciilor, armonizare legislativă</w:t>
      </w:r>
    </w:p>
    <w:p w:rsidR="002263AA" w:rsidRPr="00346233" w:rsidRDefault="004951D2" w:rsidP="00FB279E">
      <w:pPr>
        <w:spacing w:before="120" w:after="120" w:line="276" w:lineRule="auto"/>
        <w:jc w:val="both"/>
        <w:rPr>
          <w:rFonts w:ascii="Times New Roman" w:hAnsi="Times New Roman" w:cs="Times New Roman"/>
        </w:rPr>
      </w:pPr>
      <w:r w:rsidRPr="00346233">
        <w:rPr>
          <w:rFonts w:ascii="Times New Roman" w:hAnsi="Times New Roman" w:cs="Times New Roman"/>
          <w:b/>
          <w:lang w:val="ro-RO"/>
        </w:rPr>
        <w:t>Subiect (cuvinte cheie):</w:t>
      </w:r>
      <w:r w:rsidR="00D15723" w:rsidRPr="00346233">
        <w:rPr>
          <w:rFonts w:ascii="Times New Roman" w:hAnsi="Times New Roman" w:cs="Times New Roman"/>
        </w:rPr>
        <w:t xml:space="preserve"> </w:t>
      </w:r>
      <w:r w:rsidR="00414957" w:rsidRPr="00346233">
        <w:rPr>
          <w:rFonts w:ascii="Times New Roman" w:hAnsi="Times New Roman" w:cs="Times New Roman"/>
        </w:rPr>
        <w:t>„</w:t>
      </w:r>
      <w:r w:rsidR="00BD6A59" w:rsidRPr="00346233">
        <w:rPr>
          <w:rFonts w:ascii="Times New Roman" w:hAnsi="Times New Roman" w:cs="Times New Roman"/>
        </w:rPr>
        <w:t>trimitere preliminară, contracte de achiziție publică, Directiva 2014/24/UE – art. 58 alin. (3) și (4)</w:t>
      </w:r>
      <w:proofErr w:type="gramStart"/>
      <w:r w:rsidR="00BD6A59" w:rsidRPr="00346233">
        <w:rPr>
          <w:rFonts w:ascii="Times New Roman" w:hAnsi="Times New Roman" w:cs="Times New Roman"/>
        </w:rPr>
        <w:t>.,</w:t>
      </w:r>
      <w:proofErr w:type="gramEnd"/>
      <w:r w:rsidR="00BD6A59" w:rsidRPr="00346233">
        <w:rPr>
          <w:rFonts w:ascii="Times New Roman" w:hAnsi="Times New Roman" w:cs="Times New Roman"/>
        </w:rPr>
        <w:t xml:space="preserve"> art. 60 alin. (3) și (4), Anexa XII, derularea procedurilor de atribuire, selecția participanților, criterii de selecție, mijloace de probă, capacitate economică și financiară a operatorilor economici, posibilitatea conducătorului unei asocieri temporare de întreprinderi de a se prevala de veniturile obținute în temeiul unui contract de achiziție publică anterior care aparține aceluiași domeniu ca și contractul de achiziție publică în discuție în litigiul principal, inclusiv atunci când nu desfășoară el însuși activitatea care aparține domeniului vizat de contractul în discuție, capacitatea tehnică și profesională a operatorilor economici, caracterul exhaustiv al mijloacelor de probă prevăzute de directivă, art. 57 alin. (4) </w:t>
      </w:r>
      <w:proofErr w:type="gramStart"/>
      <w:r w:rsidR="00BD6A59" w:rsidRPr="00346233">
        <w:rPr>
          <w:rFonts w:ascii="Times New Roman" w:hAnsi="Times New Roman" w:cs="Times New Roman"/>
        </w:rPr>
        <w:t>lit</w:t>
      </w:r>
      <w:proofErr w:type="gramEnd"/>
      <w:r w:rsidR="00BD6A59" w:rsidRPr="00346233">
        <w:rPr>
          <w:rFonts w:ascii="Times New Roman" w:hAnsi="Times New Roman" w:cs="Times New Roman"/>
        </w:rPr>
        <w:t xml:space="preserve">. (h) și alin. (6) și (7), atribuirea contractelor de achiziție publică de servicii, motive facultative de excludere de la participarea la o procedură de achiziție publică, înscriere pe o listă </w:t>
      </w:r>
      <w:proofErr w:type="gramStart"/>
      <w:r w:rsidR="00BD6A59" w:rsidRPr="00346233">
        <w:rPr>
          <w:rFonts w:ascii="Times New Roman" w:hAnsi="Times New Roman" w:cs="Times New Roman"/>
        </w:rPr>
        <w:t>a</w:t>
      </w:r>
      <w:proofErr w:type="gramEnd"/>
      <w:r w:rsidR="00BD6A59" w:rsidRPr="00346233">
        <w:rPr>
          <w:rFonts w:ascii="Times New Roman" w:hAnsi="Times New Roman" w:cs="Times New Roman"/>
        </w:rPr>
        <w:t xml:space="preserve"> operatorilor economici excluși de la procedurile de achiziție publică, solidaritate între membrii unei asocieri temporare de întreprinderi, caracterul personal al sancțiunii, art. 21, protecția confidențialității informațiilor transmise unei autorități contractante de </w:t>
      </w:r>
      <w:proofErr w:type="gramStart"/>
      <w:r w:rsidR="00BD6A59" w:rsidRPr="00346233">
        <w:rPr>
          <w:rFonts w:ascii="Times New Roman" w:hAnsi="Times New Roman" w:cs="Times New Roman"/>
        </w:rPr>
        <w:t>un</w:t>
      </w:r>
      <w:proofErr w:type="gramEnd"/>
      <w:r w:rsidR="00BD6A59" w:rsidRPr="00346233">
        <w:rPr>
          <w:rFonts w:ascii="Times New Roman" w:hAnsi="Times New Roman" w:cs="Times New Roman"/>
        </w:rPr>
        <w:t xml:space="preserve"> operator economic, Directiva (UE) 2016/943 – art. 9, confidențialitate, protecția secretelor comerciale, aplicabilitate în cadrul procedurilor de atribuire, Directiva 89/665/CEE – art. 1, dreptul la o cale de atac efectivă”</w:t>
      </w:r>
    </w:p>
    <w:p w:rsidR="00D15723" w:rsidRPr="00346233" w:rsidRDefault="00D15723" w:rsidP="00FB279E">
      <w:pPr>
        <w:spacing w:before="120" w:after="120" w:line="276" w:lineRule="auto"/>
        <w:jc w:val="both"/>
        <w:rPr>
          <w:rFonts w:ascii="Times New Roman" w:hAnsi="Times New Roman" w:cs="Times New Roman"/>
          <w:lang w:val="ro-RO"/>
        </w:rPr>
      </w:pPr>
      <w:r w:rsidRPr="00346233">
        <w:rPr>
          <w:rFonts w:ascii="Times New Roman" w:hAnsi="Times New Roman" w:cs="Times New Roman"/>
          <w:b/>
          <w:lang w:val="ro-RO"/>
        </w:rPr>
        <w:t>Instanţa de trimitere</w:t>
      </w:r>
      <w:r w:rsidRPr="00346233">
        <w:rPr>
          <w:rFonts w:ascii="Times New Roman" w:hAnsi="Times New Roman" w:cs="Times New Roman"/>
          <w:lang w:val="ro-RO"/>
        </w:rPr>
        <w:t>:</w:t>
      </w:r>
      <w:r w:rsidRPr="00346233">
        <w:rPr>
          <w:rFonts w:ascii="Times New Roman" w:hAnsi="Times New Roman" w:cs="Times New Roman"/>
        </w:rPr>
        <w:t xml:space="preserve"> </w:t>
      </w:r>
      <w:r w:rsidR="008A31F3" w:rsidRPr="00346233">
        <w:rPr>
          <w:rFonts w:ascii="Times New Roman" w:hAnsi="Times New Roman" w:cs="Times New Roman"/>
        </w:rPr>
        <w:t>Lietuvos Aukščiausiasis Teismas (Curtea Supremă, Lituania)</w:t>
      </w:r>
    </w:p>
    <w:p w:rsidR="00D15723" w:rsidRPr="00346233" w:rsidRDefault="00D15723" w:rsidP="00D15723">
      <w:pPr>
        <w:spacing w:before="120" w:after="120" w:line="276" w:lineRule="auto"/>
        <w:jc w:val="both"/>
        <w:rPr>
          <w:rFonts w:ascii="Times New Roman" w:hAnsi="Times New Roman" w:cs="Times New Roman"/>
          <w:lang w:val="ro-RO"/>
        </w:rPr>
      </w:pPr>
      <w:r w:rsidRPr="00346233">
        <w:rPr>
          <w:rFonts w:ascii="Times New Roman" w:hAnsi="Times New Roman" w:cs="Times New Roman"/>
          <w:b/>
          <w:lang w:val="ro-RO"/>
        </w:rPr>
        <w:t>Părţi în procedura principală</w:t>
      </w:r>
      <w:r w:rsidRPr="00346233">
        <w:rPr>
          <w:rFonts w:ascii="Times New Roman" w:hAnsi="Times New Roman" w:cs="Times New Roman"/>
          <w:lang w:val="ro-RO"/>
        </w:rPr>
        <w:t>:</w:t>
      </w:r>
    </w:p>
    <w:p w:rsidR="008A31F3" w:rsidRPr="00346233" w:rsidRDefault="008A31F3" w:rsidP="008A31F3">
      <w:pPr>
        <w:spacing w:before="120" w:after="120" w:line="276" w:lineRule="auto"/>
        <w:jc w:val="both"/>
        <w:rPr>
          <w:rFonts w:ascii="Times New Roman" w:hAnsi="Times New Roman" w:cs="Times New Roman"/>
          <w:lang w:val="ro-RO"/>
        </w:rPr>
      </w:pPr>
      <w:r w:rsidRPr="00346233">
        <w:rPr>
          <w:rFonts w:ascii="Times New Roman" w:hAnsi="Times New Roman" w:cs="Times New Roman"/>
          <w:lang w:val="ro-RO"/>
        </w:rPr>
        <w:t>Reclamantă: „Klaipėdos regiono atliekų tvarkymo centras” UAB,</w:t>
      </w:r>
    </w:p>
    <w:p w:rsidR="00BD6A59" w:rsidRPr="00346233" w:rsidRDefault="008A31F3" w:rsidP="008A31F3">
      <w:pPr>
        <w:spacing w:before="120" w:after="120" w:line="276" w:lineRule="auto"/>
        <w:jc w:val="both"/>
        <w:rPr>
          <w:rFonts w:ascii="Times New Roman" w:hAnsi="Times New Roman" w:cs="Times New Roman"/>
          <w:lang w:val="ro-RO"/>
        </w:rPr>
      </w:pPr>
      <w:r w:rsidRPr="00346233">
        <w:rPr>
          <w:rFonts w:ascii="Times New Roman" w:hAnsi="Times New Roman" w:cs="Times New Roman"/>
          <w:lang w:val="ro-RO"/>
        </w:rPr>
        <w:t>Pârâte: „Ecoservice Klaipėda” UAB, „Klaipėdos autobusų parkas” UAB, „Parsekas” UAB, „Klaipėdos transportas” UAB</w:t>
      </w:r>
    </w:p>
    <w:p w:rsidR="008A31F3" w:rsidRPr="00346233" w:rsidRDefault="008A31F3" w:rsidP="007F6412">
      <w:pPr>
        <w:spacing w:before="120" w:after="120" w:line="276" w:lineRule="auto"/>
        <w:jc w:val="both"/>
        <w:rPr>
          <w:rFonts w:ascii="Times New Roman" w:hAnsi="Times New Roman" w:cs="Times New Roman"/>
        </w:rPr>
      </w:pPr>
      <w:r w:rsidRPr="00346233">
        <w:rPr>
          <w:rFonts w:ascii="Times New Roman" w:hAnsi="Times New Roman" w:cs="Times New Roman"/>
          <w:b/>
          <w:lang w:val="ro-RO"/>
        </w:rPr>
        <w:t>O</w:t>
      </w:r>
      <w:r w:rsidR="00F85D12" w:rsidRPr="00346233">
        <w:rPr>
          <w:rFonts w:ascii="Times New Roman" w:hAnsi="Times New Roman" w:cs="Times New Roman"/>
          <w:b/>
          <w:lang w:val="ro-RO"/>
        </w:rPr>
        <w:t>biectul cauzei:</w:t>
      </w:r>
      <w:r w:rsidR="002C438C" w:rsidRPr="00346233">
        <w:rPr>
          <w:rFonts w:ascii="Times New Roman" w:hAnsi="Times New Roman" w:cs="Times New Roman"/>
        </w:rPr>
        <w:t xml:space="preserve"> </w:t>
      </w:r>
      <w:r w:rsidR="00346233" w:rsidRPr="00346233">
        <w:rPr>
          <w:rFonts w:ascii="Times New Roman" w:hAnsi="Times New Roman" w:cs="Times New Roman"/>
        </w:rPr>
        <w:t>Lietuvos Aukščiausiasis Teismas (Curtea Supremă, Lituania) a formulat o cerere de decizie preliminară în cadrul litigiului între  „Klaipėdos regiono atliekų tvarkymo centras” UAB (Centrul Regional de Gestionare a Deșeurilor din Regiunea Klaipėda, Lituania) „autoritatea contractantă” și „Ecoservice Klaipėda” UAB  cu privire la atribuirea unui contract de achiziție publică de servicii de colectare și de transport deșeuri urbane către un grup de operatori economici format din „Klaipėdos autobusų parkas” UAB, „Parsekas” UAB și „Klaipėdos transportas” UAB.</w:t>
      </w:r>
    </w:p>
    <w:p w:rsidR="00346233" w:rsidRDefault="00666313" w:rsidP="00C345E5">
      <w:pPr>
        <w:spacing w:before="120" w:after="120" w:line="276" w:lineRule="auto"/>
        <w:jc w:val="both"/>
        <w:rPr>
          <w:rFonts w:ascii="Times New Roman" w:hAnsi="Times New Roman" w:cs="Times New Roman"/>
        </w:rPr>
      </w:pPr>
      <w:r w:rsidRPr="00346233">
        <w:rPr>
          <w:rFonts w:ascii="Times New Roman" w:hAnsi="Times New Roman" w:cs="Times New Roman"/>
          <w:b/>
          <w:lang w:val="ro-RO"/>
        </w:rPr>
        <w:t>Cadrul juridic</w:t>
      </w:r>
      <w:r w:rsidRPr="00346233">
        <w:rPr>
          <w:rFonts w:ascii="Times New Roman" w:hAnsi="Times New Roman" w:cs="Times New Roman"/>
        </w:rPr>
        <w:t>:</w:t>
      </w:r>
      <w:r w:rsidR="00346233" w:rsidRPr="00346233">
        <w:t xml:space="preserve"> </w:t>
      </w:r>
      <w:r w:rsidR="00346233" w:rsidRPr="00346233">
        <w:rPr>
          <w:rFonts w:ascii="Times New Roman" w:hAnsi="Times New Roman" w:cs="Times New Roman"/>
        </w:rPr>
        <w:t>considerentul (51), art. 18 alin. (1), art. 21, art. 42, art. 50 alin. (4), art. 55, art. 56 alin. (3), art. 57 alin. (4)</w:t>
      </w:r>
      <w:proofErr w:type="gramStart"/>
      <w:r w:rsidR="00346233" w:rsidRPr="00346233">
        <w:rPr>
          <w:rFonts w:ascii="Times New Roman" w:hAnsi="Times New Roman" w:cs="Times New Roman"/>
        </w:rPr>
        <w:t>-(</w:t>
      </w:r>
      <w:proofErr w:type="gramEnd"/>
      <w:r w:rsidR="00346233" w:rsidRPr="00346233">
        <w:rPr>
          <w:rFonts w:ascii="Times New Roman" w:hAnsi="Times New Roman" w:cs="Times New Roman"/>
        </w:rPr>
        <w:t>6), art. 58, art. 60 alin. (3) și (4), art. 63 alin. (1), art. 70</w:t>
      </w:r>
      <w:proofErr w:type="gramStart"/>
      <w:r w:rsidR="00346233" w:rsidRPr="00346233">
        <w:rPr>
          <w:rFonts w:ascii="Times New Roman" w:hAnsi="Times New Roman" w:cs="Times New Roman"/>
        </w:rPr>
        <w:t>,  Anexa</w:t>
      </w:r>
      <w:proofErr w:type="gramEnd"/>
      <w:r w:rsidR="00346233" w:rsidRPr="00346233">
        <w:rPr>
          <w:rFonts w:ascii="Times New Roman" w:hAnsi="Times New Roman" w:cs="Times New Roman"/>
        </w:rPr>
        <w:t xml:space="preserve"> VII, Anexa XII din Directiva 2014/24/UE, art. 1, art. 2 alin. (1) </w:t>
      </w:r>
      <w:proofErr w:type="gramStart"/>
      <w:r w:rsidR="00346233" w:rsidRPr="00346233">
        <w:rPr>
          <w:rFonts w:ascii="Times New Roman" w:hAnsi="Times New Roman" w:cs="Times New Roman"/>
        </w:rPr>
        <w:t>din</w:t>
      </w:r>
      <w:proofErr w:type="gramEnd"/>
      <w:r w:rsidR="00346233" w:rsidRPr="00346233">
        <w:rPr>
          <w:rFonts w:ascii="Times New Roman" w:hAnsi="Times New Roman" w:cs="Times New Roman"/>
        </w:rPr>
        <w:t xml:space="preserve"> Directiva 89/665/CEE, considerentele (4) și (18), art. 1, art. 3 alin. (2), art. 4 alin. (2) </w:t>
      </w:r>
      <w:proofErr w:type="gramStart"/>
      <w:r w:rsidR="00346233" w:rsidRPr="00346233">
        <w:rPr>
          <w:rFonts w:ascii="Times New Roman" w:hAnsi="Times New Roman" w:cs="Times New Roman"/>
        </w:rPr>
        <w:t>lit</w:t>
      </w:r>
      <w:proofErr w:type="gramEnd"/>
      <w:r w:rsidR="00346233" w:rsidRPr="00346233">
        <w:rPr>
          <w:rFonts w:ascii="Times New Roman" w:hAnsi="Times New Roman" w:cs="Times New Roman"/>
        </w:rPr>
        <w:t>. (</w:t>
      </w:r>
      <w:proofErr w:type="gramStart"/>
      <w:r w:rsidR="00346233" w:rsidRPr="00346233">
        <w:rPr>
          <w:rFonts w:ascii="Times New Roman" w:hAnsi="Times New Roman" w:cs="Times New Roman"/>
        </w:rPr>
        <w:t>a</w:t>
      </w:r>
      <w:proofErr w:type="gramEnd"/>
      <w:r w:rsidR="00346233" w:rsidRPr="00346233">
        <w:rPr>
          <w:rFonts w:ascii="Times New Roman" w:hAnsi="Times New Roman" w:cs="Times New Roman"/>
        </w:rPr>
        <w:t xml:space="preserve">), art. 9 alin. (2) </w:t>
      </w:r>
      <w:proofErr w:type="gramStart"/>
      <w:r w:rsidR="00346233" w:rsidRPr="00346233">
        <w:rPr>
          <w:rFonts w:ascii="Times New Roman" w:hAnsi="Times New Roman" w:cs="Times New Roman"/>
        </w:rPr>
        <w:t>din</w:t>
      </w:r>
      <w:proofErr w:type="gramEnd"/>
      <w:r w:rsidR="00346233" w:rsidRPr="00346233">
        <w:rPr>
          <w:rFonts w:ascii="Times New Roman" w:hAnsi="Times New Roman" w:cs="Times New Roman"/>
        </w:rPr>
        <w:t xml:space="preserve"> Directiva 2016/943</w:t>
      </w:r>
      <w:r w:rsidR="00346233">
        <w:rPr>
          <w:rFonts w:ascii="Times New Roman" w:hAnsi="Times New Roman" w:cs="Times New Roman"/>
        </w:rPr>
        <w:t>/UE</w:t>
      </w:r>
    </w:p>
    <w:p w:rsidR="00457A30" w:rsidRDefault="003A30AB" w:rsidP="00C345E5">
      <w:pPr>
        <w:spacing w:before="120" w:after="120" w:line="276" w:lineRule="auto"/>
        <w:jc w:val="both"/>
        <w:rPr>
          <w:rFonts w:ascii="Times New Roman" w:hAnsi="Times New Roman" w:cs="Times New Roman"/>
          <w:b/>
          <w:lang w:val="ro-RO"/>
        </w:rPr>
      </w:pPr>
      <w:r w:rsidRPr="00346233">
        <w:rPr>
          <w:rFonts w:ascii="Times New Roman" w:hAnsi="Times New Roman" w:cs="Times New Roman"/>
          <w:b/>
          <w:lang w:val="ro-RO"/>
        </w:rPr>
        <w:t>Întreb</w:t>
      </w:r>
      <w:r w:rsidR="00346233">
        <w:rPr>
          <w:rFonts w:ascii="Times New Roman" w:hAnsi="Times New Roman" w:cs="Times New Roman"/>
          <w:b/>
          <w:lang w:val="ro-RO"/>
        </w:rPr>
        <w:t>ă</w:t>
      </w:r>
      <w:r w:rsidR="007F32F3" w:rsidRPr="00346233">
        <w:rPr>
          <w:rFonts w:ascii="Times New Roman" w:hAnsi="Times New Roman" w:cs="Times New Roman"/>
          <w:b/>
          <w:lang w:val="ro-RO"/>
        </w:rPr>
        <w:t>r</w:t>
      </w:r>
      <w:r w:rsidR="00346233">
        <w:rPr>
          <w:rFonts w:ascii="Times New Roman" w:hAnsi="Times New Roman" w:cs="Times New Roman"/>
          <w:b/>
          <w:lang w:val="ro-RO"/>
        </w:rPr>
        <w:t>i</w:t>
      </w:r>
      <w:r w:rsidR="007F32F3" w:rsidRPr="00346233">
        <w:rPr>
          <w:rFonts w:ascii="Times New Roman" w:hAnsi="Times New Roman" w:cs="Times New Roman"/>
          <w:b/>
          <w:lang w:val="ro-RO"/>
        </w:rPr>
        <w:t xml:space="preserve"> preliminar</w:t>
      </w:r>
      <w:r w:rsidR="00346233">
        <w:rPr>
          <w:rFonts w:ascii="Times New Roman" w:hAnsi="Times New Roman" w:cs="Times New Roman"/>
          <w:b/>
          <w:lang w:val="ro-RO"/>
        </w:rPr>
        <w:t>e</w:t>
      </w:r>
      <w:r w:rsidRPr="00346233">
        <w:rPr>
          <w:rFonts w:ascii="Times New Roman" w:hAnsi="Times New Roman" w:cs="Times New Roman"/>
          <w:b/>
          <w:lang w:val="ro-RO"/>
        </w:rPr>
        <w:t>:</w:t>
      </w:r>
    </w:p>
    <w:p w:rsidR="001F753A" w:rsidRDefault="001F753A" w:rsidP="001F753A">
      <w:pPr>
        <w:spacing w:before="120" w:after="120" w:line="276" w:lineRule="auto"/>
        <w:jc w:val="both"/>
        <w:rPr>
          <w:rFonts w:ascii="Times New Roman" w:hAnsi="Times New Roman" w:cs="Times New Roman"/>
          <w:i/>
        </w:rPr>
      </w:pPr>
      <w:r>
        <w:rPr>
          <w:rFonts w:ascii="Times New Roman" w:hAnsi="Times New Roman" w:cs="Times New Roman"/>
          <w:i/>
        </w:rPr>
        <w:lastRenderedPageBreak/>
        <w:t>„</w:t>
      </w:r>
      <w:r w:rsidRPr="001F753A">
        <w:rPr>
          <w:rFonts w:ascii="Times New Roman" w:hAnsi="Times New Roman" w:cs="Times New Roman"/>
          <w:i/>
        </w:rPr>
        <w:t xml:space="preserve">O </w:t>
      </w:r>
      <w:r w:rsidRPr="001F753A">
        <w:rPr>
          <w:rFonts w:ascii="Times New Roman" w:hAnsi="Times New Roman" w:cs="Times New Roman"/>
          <w:i/>
        </w:rPr>
        <w:t>condiție de participare la licitație potrivit căreia furnizorii trebuie să demonstreze un anumit nivel al profitului anual din exploatare obținut din desfășurarea unor activități exclusiv legate de servicii specifice (gestionarea deșeurilor urbane mixte) intră în domeniul de aplicare al articolului 58 alineatul (3) s</w:t>
      </w:r>
      <w:r>
        <w:rPr>
          <w:rFonts w:ascii="Times New Roman" w:hAnsi="Times New Roman" w:cs="Times New Roman"/>
          <w:i/>
        </w:rPr>
        <w:t>au (4) din Directiva 2014/241?</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 xml:space="preserve">Metoda de evaluare a capacității furnizorului, reținută de Curte în Hotărârea din 4 </w:t>
      </w:r>
      <w:r>
        <w:rPr>
          <w:rFonts w:ascii="Times New Roman" w:hAnsi="Times New Roman" w:cs="Times New Roman"/>
          <w:i/>
        </w:rPr>
        <w:t>mai 2017, Esaprojekt (C-387/142</w:t>
      </w:r>
      <w:r w:rsidRPr="001F753A">
        <w:rPr>
          <w:rFonts w:ascii="Times New Roman" w:hAnsi="Times New Roman" w:cs="Times New Roman"/>
          <w:i/>
        </w:rPr>
        <w:t>), depinde d</w:t>
      </w:r>
      <w:r>
        <w:rPr>
          <w:rFonts w:ascii="Times New Roman" w:hAnsi="Times New Roman" w:cs="Times New Roman"/>
          <w:i/>
        </w:rPr>
        <w:t>e răspunsul la prima întrebare?</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O condiție de participare la licitație potrivit căreia furnizorii trebuie să demonstreze că vehiculele necesare pentru prestarea serviciilor de [gestionare a deșeurilor] respectă cerințele tehnice specifice, în special cele privind emisiile poluante (EURO 5), instalarea unui emițător GPS, capacitatea corespunzătoare etc. intră în domeniul de aplicare (a) al articolului 58 alineatul (4), (b) al articolului 42 coroborat cu dispozițiile anexei VII, (c) al artico</w:t>
      </w:r>
      <w:r>
        <w:rPr>
          <w:rFonts w:ascii="Times New Roman" w:hAnsi="Times New Roman" w:cs="Times New Roman"/>
          <w:i/>
        </w:rPr>
        <w:t>lului 70 din Directiva 2014/24?</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Articolul 1 alineatul (1) al treilea paragraf din Directiva 89/6653 , care prevede principiul eficacității procedurilor de contestare, articolul 1 alineatele (3) și (5), articolul 21 din Directiva 2014/24 și Directiva 2016/9434 , în special considerentul (18) și articolul 9 alineatul (2) al treilea paragraf (interpretate coroborat sau individual, dar fără a se limita la acestea), trebuie interpretate în sensul că, în cazul în care legislația națională privind achizițiile publice prevede o procedură prealabilă obligator</w:t>
      </w:r>
      <w:r>
        <w:rPr>
          <w:rFonts w:ascii="Times New Roman" w:hAnsi="Times New Roman" w:cs="Times New Roman"/>
          <w:i/>
        </w:rPr>
        <w:t>ie de soluționare a litigiilor:</w:t>
      </w:r>
    </w:p>
    <w:p w:rsidR="001F753A" w:rsidRPr="001F753A" w:rsidRDefault="001F753A" w:rsidP="001F753A">
      <w:pPr>
        <w:spacing w:before="120" w:after="120" w:line="276" w:lineRule="auto"/>
        <w:jc w:val="both"/>
        <w:rPr>
          <w:rFonts w:ascii="Times New Roman" w:hAnsi="Times New Roman" w:cs="Times New Roman"/>
          <w:i/>
        </w:rPr>
      </w:pPr>
      <w:proofErr w:type="gramStart"/>
      <w:r w:rsidRPr="001F753A">
        <w:rPr>
          <w:rFonts w:ascii="Times New Roman" w:hAnsi="Times New Roman" w:cs="Times New Roman"/>
          <w:i/>
        </w:rPr>
        <w:t>autoritatea</w:t>
      </w:r>
      <w:proofErr w:type="gramEnd"/>
      <w:r w:rsidRPr="001F753A">
        <w:rPr>
          <w:rFonts w:ascii="Times New Roman" w:hAnsi="Times New Roman" w:cs="Times New Roman"/>
          <w:i/>
        </w:rPr>
        <w:t xml:space="preserve"> contractantă trebuie să comunice furnizorului care a inițiat procedurile de contestare toate detaliile ofertei depuse de un alt furnizor (indiferent de caracterul lor confidențial), dacă obiectul acestei proceduri este tocmai legalitatea evaluării ofertei celuilalt furnizor, iar furnizorul care a inițiat procedura a solicitat în mod expres autorității contractante</w:t>
      </w:r>
      <w:r>
        <w:rPr>
          <w:rFonts w:ascii="Times New Roman" w:hAnsi="Times New Roman" w:cs="Times New Roman"/>
          <w:i/>
        </w:rPr>
        <w:t xml:space="preserve"> să i le comunice în prealabil;</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independent de răspunsul la întrebarea precedentă, în situațiile în care respinge cererea privind legalitatea evaluării ofertei furnizorului concurent, autoritatea contractantă trebuie, în orice caz, să furnizeze un răspuns clar, complet și specific, independent de riscul divulgării informațiilor confidențiale referitoare la oferte</w:t>
      </w:r>
      <w:r>
        <w:rPr>
          <w:rFonts w:ascii="Times New Roman" w:hAnsi="Times New Roman" w:cs="Times New Roman"/>
          <w:i/>
        </w:rPr>
        <w:t>le care i-au fost încredințate?</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 xml:space="preserve">Articolul 1 alineatul (1) al treilea paragraf, articolul 1 alineatul (3) și alineatul (5), articolul 2 alineatul (1) litera (b) din Directiva 89/665, articolul 21 din Directiva 2014/24 și Directiva 2016/943, în special considerentul (18) (interpretate coroborat sau individual, dar fără a se limita la acestea), trebuie interpretate în sensul că decizia autorității contractante de a nu acorda unui furnizor accesul la informațiile confidențiale referitoare la oferta unui alt participant este o decizie care poate fi </w:t>
      </w:r>
      <w:r>
        <w:rPr>
          <w:rFonts w:ascii="Times New Roman" w:hAnsi="Times New Roman" w:cs="Times New Roman"/>
          <w:i/>
        </w:rPr>
        <w:t>contestată separat în instanță?</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În cazul unui răspuns afirmativ la întrebarea anterioară, articolul 1 alineatul (5) din Directiva 89/665 trebuie interpretat în sensul că furnizorul trebuie să formuleze o plângere împotriva unei astfel de decizii la autoritatea contractantă și, dacă este cazul, să sesizeze</w:t>
      </w:r>
      <w:r>
        <w:rPr>
          <w:rFonts w:ascii="Times New Roman" w:hAnsi="Times New Roman" w:cs="Times New Roman"/>
          <w:i/>
        </w:rPr>
        <w:t xml:space="preserve"> instanța?</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În cazul unui răspuns afirmativ la întrebarea anterioară, articolul 1 alineatul (1) al treilea paragraf și articolul 2 alineatul (1) litera (b) din Directiva 89/665 trebuie interpretate în sensul că, în funcție de informațiile disponibile privind conținutul ofertei celuilalt furnizor, acesta poate sesiza instanța cu o acțiune care privește exclusiv refuzul de a comunica informațiile, fără a pune în discuție în mod distinct legalitatea altor decizi</w:t>
      </w:r>
      <w:r>
        <w:rPr>
          <w:rFonts w:ascii="Times New Roman" w:hAnsi="Times New Roman" w:cs="Times New Roman"/>
          <w:i/>
        </w:rPr>
        <w:t>i ale autorității contractante?</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Independent de răspunsurile la întrebările precedente, articolul 9 alineatul (2) al treilea paragraf din Directiva 2016/943 trebuie interpretat în sensul că, după ce a primit cererea reclamantei de a obliga cealaltă parte în litigiu să prezinte dovezi și să le pună la dispoziția sa, instanța trebuie să admită o astfel de cerere, independent de comportamentul autorității contractante în cadrul procedurii de achiziții publice sau</w:t>
      </w:r>
      <w:r>
        <w:rPr>
          <w:rFonts w:ascii="Times New Roman" w:hAnsi="Times New Roman" w:cs="Times New Roman"/>
          <w:i/>
        </w:rPr>
        <w:t xml:space="preserve"> al procedurilor de contestare?</w:t>
      </w: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Articolul 9 alineatul (2) al treilea paragraf din Directiva 2016/943 trebuie interpretat în sensul că, după ce a respins cererea de divulgare formulată de reclamantă cu privire la informațiile confidențiale depuse de cealaltă parte la procedură, instanța trebuie să aprecieze din oficiu importanța datelor pentru care se solicită încălcarea confidențialității și efectele acestora asupra regularității procedurii de atribuire a contractului de achiziții publice?</w:t>
      </w:r>
    </w:p>
    <w:p w:rsidR="001F753A" w:rsidRPr="001F753A" w:rsidRDefault="001F753A" w:rsidP="001F753A">
      <w:pPr>
        <w:spacing w:before="120" w:after="120" w:line="276" w:lineRule="auto"/>
        <w:jc w:val="both"/>
        <w:rPr>
          <w:rFonts w:ascii="Times New Roman" w:hAnsi="Times New Roman" w:cs="Times New Roman"/>
          <w:i/>
        </w:rPr>
      </w:pPr>
    </w:p>
    <w:p w:rsidR="001F753A"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 xml:space="preserve">Cauza de excludere a furnizorilor prevăzută la articolul 57 alineatul (4) litera (h) din Directiva 2014/24, cu luarea în considerare a Hotărârii Curții din 3 octombrie 2019, Delta Antrepriză de Construcţii și Montaj 935 , poate fi aplicată în sensul că instanța, în contextul examinării unui litigiu între un furnizor și autoritatea contractantă, poate decide din oficiu, independent de aprecierea făcută de autoritatea contractantă, că ofertantul în cauză, în mod intenționat sau din neglijență, a transmis acesteia din urmă informații înșelătoare și inexacte din punct de vedere material și astfel a trebuit să fie exclus din </w:t>
      </w:r>
      <w:r>
        <w:rPr>
          <w:rFonts w:ascii="Times New Roman" w:hAnsi="Times New Roman" w:cs="Times New Roman"/>
          <w:i/>
        </w:rPr>
        <w:t>procedura de achiziții publice?</w:t>
      </w:r>
    </w:p>
    <w:p w:rsidR="00346233" w:rsidRPr="001F753A" w:rsidRDefault="001F753A" w:rsidP="001F753A">
      <w:pPr>
        <w:spacing w:before="120" w:after="120" w:line="276" w:lineRule="auto"/>
        <w:jc w:val="both"/>
        <w:rPr>
          <w:rFonts w:ascii="Times New Roman" w:hAnsi="Times New Roman" w:cs="Times New Roman"/>
          <w:i/>
        </w:rPr>
      </w:pPr>
      <w:r w:rsidRPr="001F753A">
        <w:rPr>
          <w:rFonts w:ascii="Times New Roman" w:hAnsi="Times New Roman" w:cs="Times New Roman"/>
          <w:i/>
        </w:rPr>
        <w:t>Articolul 57 alineatul (4) litera (h) din Directiva 2014/24 coroborat cu principiul proporționalității menționat la articolul 18 alineatul (1) din această directivă trebuie interpretat în sensul că, în cazul în care legislația națională prevede sancțiuni suplimentare (în afară de excluderea de la procedura de achiziții publice) pentru prezentarea unor informații false, aceste sancțiuni pot fi aplicate numai pe baza răspunderii personale, în special în cazul în care informații neconforme cu situația de fapt sunt comunicate numai de către o parte dintre coparticipanții la procedura de atribuire a contractului de achiziții publice (de exemplu, unul dintre mai mulți parteneri)?</w:t>
      </w:r>
      <w:r>
        <w:rPr>
          <w:rFonts w:ascii="Times New Roman" w:hAnsi="Times New Roman" w:cs="Times New Roman"/>
          <w:i/>
        </w:rPr>
        <w:t>”</w:t>
      </w:r>
    </w:p>
    <w:p w:rsidR="002008D4" w:rsidRDefault="005C3D22" w:rsidP="002008D4">
      <w:pPr>
        <w:spacing w:before="120" w:after="120" w:line="276" w:lineRule="auto"/>
        <w:jc w:val="both"/>
        <w:rPr>
          <w:rFonts w:ascii="Times New Roman" w:hAnsi="Times New Roman" w:cs="Times New Roman"/>
          <w:b/>
          <w:lang w:val="ro-RO"/>
        </w:rPr>
      </w:pPr>
      <w:r w:rsidRPr="00346233">
        <w:rPr>
          <w:rFonts w:ascii="Times New Roman" w:hAnsi="Times New Roman" w:cs="Times New Roman"/>
          <w:b/>
          <w:lang w:val="ro-RO"/>
        </w:rPr>
        <w:t xml:space="preserve">Soluție: </w:t>
      </w:r>
    </w:p>
    <w:p w:rsidR="002008D4" w:rsidRDefault="002008D4" w:rsidP="002008D4">
      <w:pPr>
        <w:spacing w:before="120" w:after="120" w:line="276" w:lineRule="auto"/>
        <w:jc w:val="both"/>
        <w:rPr>
          <w:rFonts w:ascii="Times New Roman" w:hAnsi="Times New Roman" w:cs="Times New Roman"/>
          <w:b/>
          <w:i/>
        </w:rPr>
      </w:pPr>
      <w:r>
        <w:rPr>
          <w:rFonts w:ascii="Times New Roman" w:hAnsi="Times New Roman" w:cs="Times New Roman"/>
          <w:b/>
          <w:lang w:val="ro-RO"/>
        </w:rPr>
        <w:t>„</w:t>
      </w:r>
      <w:r>
        <w:rPr>
          <w:rFonts w:ascii="Times New Roman" w:hAnsi="Times New Roman" w:cs="Times New Roman"/>
          <w:b/>
          <w:i/>
        </w:rPr>
        <w:t xml:space="preserve">1) </w:t>
      </w:r>
      <w:r w:rsidRPr="002008D4">
        <w:rPr>
          <w:rFonts w:ascii="Times New Roman" w:hAnsi="Times New Roman" w:cs="Times New Roman"/>
          <w:b/>
          <w:i/>
        </w:rPr>
        <w:t> Articolul 58 din Directiva 2014/24/UE a Parlamentului European și a Consiliului din 26 februarie 2014 privind achizițiile publice și de abrogare a Directivei 2004/18/CE trebuie interpretat în sensul că obligația operatorilor economici de a demonstra că realizează o anumită cifră de afaceri anuală medie în domeniul de activitate vizat de contractul de achiziții publice în cauză constituie un criteriu de selecție referitor la capacitatea economică și financiară a acestor operatori, în sensul alineatului (3) al acestei dispoziții.</w:t>
      </w:r>
    </w:p>
    <w:p w:rsidR="002008D4" w:rsidRDefault="002008D4" w:rsidP="002008D4">
      <w:pPr>
        <w:spacing w:before="120" w:after="120" w:line="276" w:lineRule="auto"/>
        <w:jc w:val="both"/>
        <w:rPr>
          <w:rFonts w:ascii="Times New Roman" w:hAnsi="Times New Roman" w:cs="Times New Roman"/>
          <w:b/>
          <w:i/>
        </w:rPr>
      </w:pPr>
      <w:r>
        <w:rPr>
          <w:rFonts w:ascii="Times New Roman" w:hAnsi="Times New Roman" w:cs="Times New Roman"/>
          <w:b/>
          <w:i/>
        </w:rPr>
        <w:t>2)</w:t>
      </w:r>
      <w:r w:rsidRPr="002008D4">
        <w:rPr>
          <w:rFonts w:ascii="Times New Roman" w:hAnsi="Times New Roman" w:cs="Times New Roman"/>
          <w:b/>
          <w:i/>
        </w:rPr>
        <w:t> Dispozițiile coroborate ale articolului 58 alineatul (3) și ale articolului 60 alineatul (3) din Directiva 2014/24 trebuie interpretate în sensul că, în ipoteza în care autoritatea contractantă a solicitat ca operatorii economici să fi realizat o anumită cifră de afaceri minimă în domeniul la care se referă contractul de achiziții publice în cauză, un operator economic nu poate, în scopul de a face dovada capacității sale economice și financiare, să se prevaleze de veniturile obținute de o asociere temporară de întreprinderi din care a făcut parte decât dacă a contribuit în mod efectiv, în cadrul unui contract de achiziții publice determinat, la realizarea unei activități a acestui grup analoge celei care face obiectul contractului de achiziții publice pentru care operatorul menționat intenționează să facă dovada capacității sale economice și financiare.</w:t>
      </w:r>
    </w:p>
    <w:p w:rsidR="002008D4" w:rsidRDefault="002008D4" w:rsidP="002008D4">
      <w:pPr>
        <w:spacing w:before="120" w:after="120" w:line="276" w:lineRule="auto"/>
        <w:jc w:val="both"/>
        <w:rPr>
          <w:rFonts w:ascii="Times New Roman" w:hAnsi="Times New Roman" w:cs="Times New Roman"/>
          <w:b/>
          <w:i/>
        </w:rPr>
      </w:pPr>
      <w:r>
        <w:rPr>
          <w:rFonts w:ascii="Times New Roman" w:hAnsi="Times New Roman" w:cs="Times New Roman"/>
          <w:b/>
          <w:i/>
        </w:rPr>
        <w:t>3)</w:t>
      </w:r>
      <w:r w:rsidRPr="002008D4">
        <w:rPr>
          <w:rFonts w:ascii="Times New Roman" w:hAnsi="Times New Roman" w:cs="Times New Roman"/>
          <w:b/>
          <w:i/>
        </w:rPr>
        <w:t> Articolul 58 alineatul (4), precum și articolele 42 și 70 din Directiva 2014/24 trebuie interpretate în sensul că sunt susceptibile a se aplica, concomitent, unei cerințe tehnice conținute într</w:t>
      </w:r>
      <w:r w:rsidRPr="002008D4">
        <w:rPr>
          <w:rFonts w:ascii="Times New Roman" w:hAnsi="Times New Roman" w:cs="Times New Roman"/>
          <w:b/>
          <w:i/>
        </w:rPr>
        <w:noBreakHyphen/>
        <w:t>o cerere de ofertă.</w:t>
      </w:r>
    </w:p>
    <w:p w:rsidR="00E55B43" w:rsidRDefault="002008D4" w:rsidP="00E55B43">
      <w:pPr>
        <w:spacing w:before="120" w:after="120" w:line="276" w:lineRule="auto"/>
        <w:jc w:val="both"/>
        <w:rPr>
          <w:rFonts w:ascii="Times New Roman" w:hAnsi="Times New Roman" w:cs="Times New Roman"/>
          <w:b/>
          <w:i/>
        </w:rPr>
      </w:pPr>
      <w:r>
        <w:rPr>
          <w:rFonts w:ascii="Times New Roman" w:hAnsi="Times New Roman" w:cs="Times New Roman"/>
          <w:b/>
          <w:i/>
        </w:rPr>
        <w:t>4)</w:t>
      </w:r>
      <w:r w:rsidRPr="002008D4">
        <w:rPr>
          <w:rFonts w:ascii="Times New Roman" w:hAnsi="Times New Roman" w:cs="Times New Roman"/>
          <w:b/>
          <w:i/>
        </w:rPr>
        <w:t> Articolul 1 alineatul (1) al patrulea paragraf, articolul 1 alineatele (3) și (5) și articolul 2 alineatul (1) litera (b)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trebuie interpretate în sensul că decizia unei autorități contractante prin care se refuză comunicarea către un operator economic a informațiilor considerate confidențiale care figurează în dosarul de candidatură sau în oferta unui alt operator economic constituie un act care poate face obiectul unei căi de atac și că, în cazul în care statul membru pe teritoriul căruia se desfășoară procedura de atribuire a contractului de achiziții publice în cauză a prevăzut că o persoană care dorește să conteste o decizie luată de autoritatea contractantă este obligată, anterior sesizării instanței, să exercite o cale de atac administrativă, acest stat membru poate de asemenea să prevadă că o cale de atac jurisdicțională împotriva acestei decizii de refuz al accesului trebuie să fie precedată de o astfel de cale de atac administrativă prealabilă.</w:t>
      </w:r>
    </w:p>
    <w:p w:rsidR="004F7581" w:rsidRDefault="00E55B43" w:rsidP="004F7581">
      <w:pPr>
        <w:spacing w:before="120" w:after="120" w:line="276" w:lineRule="auto"/>
        <w:jc w:val="both"/>
        <w:rPr>
          <w:rFonts w:ascii="Times New Roman" w:hAnsi="Times New Roman" w:cs="Times New Roman"/>
          <w:b/>
          <w:i/>
        </w:rPr>
      </w:pPr>
      <w:r>
        <w:rPr>
          <w:rFonts w:ascii="Times New Roman" w:hAnsi="Times New Roman" w:cs="Times New Roman"/>
          <w:b/>
          <w:i/>
        </w:rPr>
        <w:t>5)</w:t>
      </w:r>
      <w:r w:rsidR="002008D4" w:rsidRPr="002008D4">
        <w:rPr>
          <w:rFonts w:ascii="Times New Roman" w:hAnsi="Times New Roman" w:cs="Times New Roman"/>
          <w:b/>
          <w:i/>
        </w:rPr>
        <w:t xml:space="preserve"> Articolul 1 alineatul (1) al patrulea paragraf și articolul 1 alineatele (3) și (5) din Directiva 89/665, astfel cum a fost modificată prin Directiva 2014/23, precum și articolul 21 din Directiva 2014/24, citit în lumina principiului general de drept al Uniunii la o bună administrare, trebuie interpretate în sensul că o autoritate contractantă, </w:t>
      </w:r>
      <w:r w:rsidR="002008D4" w:rsidRPr="002008D4">
        <w:rPr>
          <w:rFonts w:ascii="Times New Roman" w:hAnsi="Times New Roman" w:cs="Times New Roman"/>
          <w:b/>
          <w:i/>
        </w:rPr>
        <w:lastRenderedPageBreak/>
        <w:t>sesizată de un operator economic cu o cerere de comunicare a informațiilor considerate confidențiale cuprinse în oferta unui concurent căruia i</w:t>
      </w:r>
      <w:r w:rsidR="002008D4" w:rsidRPr="002008D4">
        <w:rPr>
          <w:rFonts w:ascii="Times New Roman" w:hAnsi="Times New Roman" w:cs="Times New Roman"/>
          <w:b/>
          <w:i/>
        </w:rPr>
        <w:noBreakHyphen/>
        <w:t>a fost atribuit contractul, nu este obligată să comunice aceste informații atunci când transmiterea lor ar conduce la încălcarea normelor de drept al Uniunii referitoare la protecția informațiilor confidențiale, chiar dacă cererea operatorului economic este prezentată în cadrul unei căi de atac a aceluiași operator privind legalitatea aprecierii de către autoritatea contractantă a ofertei concurentului. Atunci când refuză să transmită asemenea informații sau când, odată cu formularea unui astfel de refuz, respinge calea de atac administrativă formulată de un operator economic cu privire la legalitatea aprecierii ofertei concurentului în cauză, autoritatea contractantă este obligată să evalueze comparativ dreptul solicitantului la bună administrare și dreptul concurentului la protecția informațiilor confidențiale, așa încât decizia sa de refuz sau decizia sa de respingere să fie motivată, iar dreptul la o cale de atac eficientă de care beneficiază un ofertant respins să nu fie lipsit de efect util.</w:t>
      </w:r>
    </w:p>
    <w:p w:rsidR="00711068" w:rsidRDefault="004F7581" w:rsidP="00711068">
      <w:pPr>
        <w:spacing w:before="120" w:after="120" w:line="276" w:lineRule="auto"/>
        <w:jc w:val="both"/>
        <w:rPr>
          <w:rFonts w:ascii="Times New Roman" w:hAnsi="Times New Roman" w:cs="Times New Roman"/>
          <w:b/>
          <w:i/>
        </w:rPr>
      </w:pPr>
      <w:r>
        <w:rPr>
          <w:rFonts w:ascii="Times New Roman" w:hAnsi="Times New Roman" w:cs="Times New Roman"/>
          <w:b/>
          <w:i/>
        </w:rPr>
        <w:t xml:space="preserve">6) </w:t>
      </w:r>
      <w:r w:rsidR="002008D4" w:rsidRPr="002008D4">
        <w:rPr>
          <w:rFonts w:ascii="Times New Roman" w:hAnsi="Times New Roman" w:cs="Times New Roman"/>
          <w:b/>
          <w:i/>
        </w:rPr>
        <w:t>Articolul 1 alineatul (1) al patrulea paragraf și articolul 1 alineatele (3) și (5) din Directiva 89/665, astfel cum a fost modificată prin Directiva 2014/23, precum și articolul 21 din Directiva 2014/24, citite în lumina articolului 47 din Carta drepturilor fundamentale a Uniunii Europene, trebuie interpretate în sensul că instanța națională competentă sesizată cu o cale de atac împotriva deciziei unei autorități contractante prin care se refuză comunicarea către un operator economic a informațiilor considerate confidențiale cuprinse în documentația transmisă de concurentul căruia i</w:t>
      </w:r>
      <w:r w:rsidR="002008D4" w:rsidRPr="002008D4">
        <w:rPr>
          <w:rFonts w:ascii="Times New Roman" w:hAnsi="Times New Roman" w:cs="Times New Roman"/>
          <w:b/>
          <w:i/>
        </w:rPr>
        <w:noBreakHyphen/>
        <w:t xml:space="preserve">a fost atribuit contractul sau cu o cale de atac împotriva deciziei unei autorități contractante de respingere a căii de atac administrative formulate împotriva unei astfel de decizii de refuz este obligată să evalueze comparativ dreptul solicitantului de a beneficia de o cale de atac efectivă și dreptul concurentului său la protecția informațiilor confidențiale și a secretelor comerciale ale acestuia. În acest scop, instanța menționată, care trebuie în mod necesar să dispună de informațiile necesare, inclusiv de informațiile confidențiale și de secretele comerciale, pentru a fi în măsură să se pronunțe în deplină cunoștință de cauză cu privire la caracterul comunicabil al informațiilor menționate, trebuie să procedeze la o examinare a tuturor elementelor de fapt și de drept pertinente. Ea trebuie de asemenea </w:t>
      </w:r>
      <w:proofErr w:type="gramStart"/>
      <w:r w:rsidR="002008D4" w:rsidRPr="002008D4">
        <w:rPr>
          <w:rFonts w:ascii="Times New Roman" w:hAnsi="Times New Roman" w:cs="Times New Roman"/>
          <w:b/>
          <w:i/>
        </w:rPr>
        <w:t>să</w:t>
      </w:r>
      <w:proofErr w:type="gramEnd"/>
      <w:r w:rsidR="002008D4" w:rsidRPr="002008D4">
        <w:rPr>
          <w:rFonts w:ascii="Times New Roman" w:hAnsi="Times New Roman" w:cs="Times New Roman"/>
          <w:b/>
          <w:i/>
        </w:rPr>
        <w:t xml:space="preserve"> poată anula decizia de refuz sau decizia de respingere a căii de atac administrative dacă acestea sunt nelegale și, dacă este cazul, să trimită cauza autorității contractante sau chiar să adopte ea însăși o nouă decizie dacă dreptul său național îi permite acest lucru.</w:t>
      </w:r>
    </w:p>
    <w:p w:rsidR="00711068" w:rsidRDefault="00711068" w:rsidP="00711068">
      <w:pPr>
        <w:spacing w:before="120" w:after="120" w:line="276" w:lineRule="auto"/>
        <w:jc w:val="both"/>
        <w:rPr>
          <w:rFonts w:ascii="Times New Roman" w:hAnsi="Times New Roman" w:cs="Times New Roman"/>
          <w:b/>
          <w:i/>
        </w:rPr>
      </w:pPr>
      <w:r>
        <w:rPr>
          <w:rFonts w:ascii="Times New Roman" w:hAnsi="Times New Roman" w:cs="Times New Roman"/>
          <w:b/>
          <w:i/>
        </w:rPr>
        <w:t xml:space="preserve">7) </w:t>
      </w:r>
      <w:r w:rsidR="002008D4" w:rsidRPr="002008D4">
        <w:rPr>
          <w:rFonts w:ascii="Times New Roman" w:hAnsi="Times New Roman" w:cs="Times New Roman"/>
          <w:b/>
          <w:i/>
        </w:rPr>
        <w:t>Articolul 57 alineatul (4) din Directiva 2014/24 trebuie interpretat în sensul că o instanță națională sesizată cu un litigiu între un operator economic exclus de la atribuirea unui contract și</w:t>
      </w:r>
      <w:bookmarkStart w:id="0" w:name="_GoBack"/>
      <w:r w:rsidR="002008D4" w:rsidRPr="002008D4">
        <w:rPr>
          <w:rFonts w:ascii="Times New Roman" w:hAnsi="Times New Roman" w:cs="Times New Roman"/>
          <w:b/>
          <w:i/>
        </w:rPr>
        <w:t xml:space="preserve"> </w:t>
      </w:r>
      <w:bookmarkEnd w:id="0"/>
      <w:r w:rsidR="002008D4" w:rsidRPr="002008D4">
        <w:rPr>
          <w:rFonts w:ascii="Times New Roman" w:hAnsi="Times New Roman" w:cs="Times New Roman"/>
          <w:b/>
          <w:i/>
        </w:rPr>
        <w:t>o autoritate contractantă poate să se îndepărteze de la aprecierea făcută de aceasta din urmă cu privire la legalitatea comportamentului operatorului economic căruia i</w:t>
      </w:r>
      <w:r w:rsidR="002008D4" w:rsidRPr="002008D4">
        <w:rPr>
          <w:rFonts w:ascii="Times New Roman" w:hAnsi="Times New Roman" w:cs="Times New Roman"/>
          <w:b/>
          <w:i/>
        </w:rPr>
        <w:noBreakHyphen/>
        <w:t>a fost atribuit contractul și, prin urmare, să deducă toate consecințele necesare în decizia sa. În schimb, în conformitate cu principiul echivalenței, o astfel de instanță nu poate invoca din oficiu motivul întemeiat pe eroarea de apreciere săvârșită de autoritatea contractantă decât dacă dreptul său național permite acest lucru.</w:t>
      </w:r>
    </w:p>
    <w:p w:rsidR="001F753A" w:rsidRPr="002008D4" w:rsidRDefault="00711068" w:rsidP="00C345E5">
      <w:pPr>
        <w:spacing w:before="120" w:after="120" w:line="276" w:lineRule="auto"/>
        <w:jc w:val="both"/>
        <w:rPr>
          <w:rFonts w:ascii="Times New Roman" w:hAnsi="Times New Roman" w:cs="Times New Roman"/>
          <w:b/>
          <w:i/>
        </w:rPr>
      </w:pPr>
      <w:r>
        <w:rPr>
          <w:rFonts w:ascii="Times New Roman" w:hAnsi="Times New Roman" w:cs="Times New Roman"/>
          <w:b/>
          <w:i/>
        </w:rPr>
        <w:t xml:space="preserve">8) </w:t>
      </w:r>
      <w:r w:rsidR="002008D4" w:rsidRPr="002008D4">
        <w:rPr>
          <w:rFonts w:ascii="Times New Roman" w:hAnsi="Times New Roman" w:cs="Times New Roman"/>
          <w:b/>
          <w:i/>
        </w:rPr>
        <w:t>Articolul 63 alineatul (1) al doilea paragraf din Directiva 2014/24 coroborat cu articolul 57 alineatele (4) și (6) din această directivă trebuie interpretat în sensul că se opune unei reglementări naționale în temeiul căreia, atunci când un operator economic, membru al unui grup de operatori economici, s</w:t>
      </w:r>
      <w:r w:rsidR="002008D4" w:rsidRPr="002008D4">
        <w:rPr>
          <w:rFonts w:ascii="Times New Roman" w:hAnsi="Times New Roman" w:cs="Times New Roman"/>
          <w:b/>
          <w:i/>
        </w:rPr>
        <w:noBreakHyphen/>
        <w:t>a făcut vinovat de declarații false prin furnizarea informațiilor solicitate pentru verificarea inexistenței unor motive de excludere a grupului sau a îndeplinirii de către acesta din urmă a criteriilor de selecție, fără ca partenerii săi să fi avut cunoștință de această declarație falsă, se poate pronunța o măsură de excludere de la orice procedură de atribuire a unui contract de achiziții publice împotriva tuturor membrilor acestui grup.</w:t>
      </w:r>
      <w:r>
        <w:rPr>
          <w:rFonts w:ascii="Times New Roman" w:hAnsi="Times New Roman" w:cs="Times New Roman"/>
          <w:b/>
          <w:i/>
        </w:rPr>
        <w:t>”</w:t>
      </w:r>
    </w:p>
    <w:p w:rsidR="001F753A" w:rsidRDefault="001F753A" w:rsidP="00C345E5">
      <w:pPr>
        <w:spacing w:before="120" w:after="120" w:line="276" w:lineRule="auto"/>
        <w:jc w:val="both"/>
        <w:rPr>
          <w:rFonts w:ascii="Times New Roman" w:hAnsi="Times New Roman" w:cs="Times New Roman"/>
          <w:b/>
          <w:lang w:val="ro-RO"/>
        </w:rPr>
      </w:pPr>
    </w:p>
    <w:p w:rsidR="001F753A" w:rsidRDefault="001F753A" w:rsidP="00C345E5">
      <w:pPr>
        <w:spacing w:before="120" w:after="120" w:line="276" w:lineRule="auto"/>
        <w:jc w:val="both"/>
        <w:rPr>
          <w:rFonts w:ascii="Times New Roman" w:hAnsi="Times New Roman" w:cs="Times New Roman"/>
          <w:b/>
          <w:lang w:val="ro-RO"/>
        </w:rPr>
      </w:pPr>
    </w:p>
    <w:p w:rsidR="001F753A" w:rsidRPr="00346233" w:rsidRDefault="001F753A" w:rsidP="00C345E5">
      <w:pPr>
        <w:spacing w:before="120" w:after="120" w:line="276" w:lineRule="auto"/>
        <w:jc w:val="both"/>
        <w:rPr>
          <w:rFonts w:ascii="Times New Roman" w:hAnsi="Times New Roman" w:cs="Times New Roman"/>
          <w:b/>
          <w:lang w:val="ro-RO"/>
        </w:rPr>
      </w:pPr>
    </w:p>
    <w:p w:rsidR="0077192E" w:rsidRPr="00346233" w:rsidRDefault="0077192E" w:rsidP="00134A15">
      <w:pPr>
        <w:spacing w:before="120" w:after="120" w:line="276" w:lineRule="auto"/>
        <w:jc w:val="both"/>
        <w:rPr>
          <w:rFonts w:ascii="Times New Roman" w:hAnsi="Times New Roman" w:cs="Times New Roman"/>
          <w:b/>
          <w:lang w:val="ro-RO"/>
        </w:rPr>
      </w:pPr>
    </w:p>
    <w:sectPr w:rsidR="0077192E" w:rsidRPr="00346233" w:rsidSect="008902B0">
      <w:footerReference w:type="default" r:id="rId7"/>
      <w:pgSz w:w="12240" w:h="15840"/>
      <w:pgMar w:top="567"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3AF" w:rsidRDefault="002033AF" w:rsidP="004F21C1">
      <w:pPr>
        <w:spacing w:after="0" w:line="240" w:lineRule="auto"/>
      </w:pPr>
      <w:r>
        <w:separator/>
      </w:r>
    </w:p>
  </w:endnote>
  <w:endnote w:type="continuationSeparator" w:id="0">
    <w:p w:rsidR="002033AF" w:rsidRDefault="002033AF"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711068">
          <w:rPr>
            <w:noProof/>
          </w:rPr>
          <w:t>4</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3AF" w:rsidRDefault="002033AF" w:rsidP="004F21C1">
      <w:pPr>
        <w:spacing w:after="0" w:line="240" w:lineRule="auto"/>
      </w:pPr>
      <w:r>
        <w:separator/>
      </w:r>
    </w:p>
  </w:footnote>
  <w:footnote w:type="continuationSeparator" w:id="0">
    <w:p w:rsidR="002033AF" w:rsidRDefault="002033AF"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33CED"/>
    <w:rsid w:val="00046D17"/>
    <w:rsid w:val="00047E32"/>
    <w:rsid w:val="00056BEC"/>
    <w:rsid w:val="00057BF1"/>
    <w:rsid w:val="00090597"/>
    <w:rsid w:val="000E3E80"/>
    <w:rsid w:val="000F6780"/>
    <w:rsid w:val="000F68A0"/>
    <w:rsid w:val="00103442"/>
    <w:rsid w:val="00105A7C"/>
    <w:rsid w:val="00110627"/>
    <w:rsid w:val="0011603F"/>
    <w:rsid w:val="00117D0B"/>
    <w:rsid w:val="00134A15"/>
    <w:rsid w:val="001374F9"/>
    <w:rsid w:val="00144B4B"/>
    <w:rsid w:val="0017026E"/>
    <w:rsid w:val="00173889"/>
    <w:rsid w:val="0019474F"/>
    <w:rsid w:val="00195D9A"/>
    <w:rsid w:val="001D0DD4"/>
    <w:rsid w:val="001D6B0F"/>
    <w:rsid w:val="001F28A9"/>
    <w:rsid w:val="001F68B1"/>
    <w:rsid w:val="001F753A"/>
    <w:rsid w:val="002008D4"/>
    <w:rsid w:val="002033AF"/>
    <w:rsid w:val="00211DA9"/>
    <w:rsid w:val="002263AA"/>
    <w:rsid w:val="00235398"/>
    <w:rsid w:val="00237DA0"/>
    <w:rsid w:val="00240A2E"/>
    <w:rsid w:val="00254B13"/>
    <w:rsid w:val="00255F2E"/>
    <w:rsid w:val="00262E38"/>
    <w:rsid w:val="00291728"/>
    <w:rsid w:val="002955E2"/>
    <w:rsid w:val="002A043E"/>
    <w:rsid w:val="002B29AE"/>
    <w:rsid w:val="002B4E9B"/>
    <w:rsid w:val="002C438C"/>
    <w:rsid w:val="002C53F8"/>
    <w:rsid w:val="002D441E"/>
    <w:rsid w:val="003023CF"/>
    <w:rsid w:val="0030692D"/>
    <w:rsid w:val="00322093"/>
    <w:rsid w:val="00325F0A"/>
    <w:rsid w:val="00340CE2"/>
    <w:rsid w:val="00346233"/>
    <w:rsid w:val="0035231A"/>
    <w:rsid w:val="00375B7D"/>
    <w:rsid w:val="003961E5"/>
    <w:rsid w:val="003A30AB"/>
    <w:rsid w:val="003A5763"/>
    <w:rsid w:val="003C0EC1"/>
    <w:rsid w:val="003C2F78"/>
    <w:rsid w:val="003D4732"/>
    <w:rsid w:val="003E34C0"/>
    <w:rsid w:val="00401860"/>
    <w:rsid w:val="004111FC"/>
    <w:rsid w:val="004113B0"/>
    <w:rsid w:val="00413332"/>
    <w:rsid w:val="00414957"/>
    <w:rsid w:val="00436121"/>
    <w:rsid w:val="004370B2"/>
    <w:rsid w:val="00447C8E"/>
    <w:rsid w:val="00457A30"/>
    <w:rsid w:val="0046012B"/>
    <w:rsid w:val="004611B3"/>
    <w:rsid w:val="004668DB"/>
    <w:rsid w:val="004724B3"/>
    <w:rsid w:val="00490EDC"/>
    <w:rsid w:val="004951D2"/>
    <w:rsid w:val="004A0E05"/>
    <w:rsid w:val="004A57F2"/>
    <w:rsid w:val="004B04E8"/>
    <w:rsid w:val="004B34B2"/>
    <w:rsid w:val="004C388A"/>
    <w:rsid w:val="004C681C"/>
    <w:rsid w:val="004F21C1"/>
    <w:rsid w:val="004F7581"/>
    <w:rsid w:val="00502C68"/>
    <w:rsid w:val="00513FCC"/>
    <w:rsid w:val="0051524F"/>
    <w:rsid w:val="00530DD9"/>
    <w:rsid w:val="005409DE"/>
    <w:rsid w:val="00543C22"/>
    <w:rsid w:val="005528C1"/>
    <w:rsid w:val="00556C8B"/>
    <w:rsid w:val="00560116"/>
    <w:rsid w:val="005620F8"/>
    <w:rsid w:val="0056210B"/>
    <w:rsid w:val="00565876"/>
    <w:rsid w:val="00567A53"/>
    <w:rsid w:val="005756DC"/>
    <w:rsid w:val="00581A19"/>
    <w:rsid w:val="005945A4"/>
    <w:rsid w:val="00596F27"/>
    <w:rsid w:val="005C3D22"/>
    <w:rsid w:val="005F4B71"/>
    <w:rsid w:val="005F4F72"/>
    <w:rsid w:val="00602820"/>
    <w:rsid w:val="0062377B"/>
    <w:rsid w:val="006348AC"/>
    <w:rsid w:val="00643D07"/>
    <w:rsid w:val="00644AAA"/>
    <w:rsid w:val="00647E49"/>
    <w:rsid w:val="006513FA"/>
    <w:rsid w:val="00651CE9"/>
    <w:rsid w:val="0065365B"/>
    <w:rsid w:val="00666313"/>
    <w:rsid w:val="006734D7"/>
    <w:rsid w:val="006754CE"/>
    <w:rsid w:val="006A0EC0"/>
    <w:rsid w:val="006A4DA7"/>
    <w:rsid w:val="006A6A1D"/>
    <w:rsid w:val="006B31B9"/>
    <w:rsid w:val="006B69ED"/>
    <w:rsid w:val="006B6EC3"/>
    <w:rsid w:val="006C0819"/>
    <w:rsid w:val="006C0F2F"/>
    <w:rsid w:val="006F1E30"/>
    <w:rsid w:val="00711068"/>
    <w:rsid w:val="00722CE2"/>
    <w:rsid w:val="00737D39"/>
    <w:rsid w:val="00751707"/>
    <w:rsid w:val="0075300B"/>
    <w:rsid w:val="0077192E"/>
    <w:rsid w:val="00773B31"/>
    <w:rsid w:val="00781285"/>
    <w:rsid w:val="00783B28"/>
    <w:rsid w:val="00794A33"/>
    <w:rsid w:val="007C3939"/>
    <w:rsid w:val="007C662E"/>
    <w:rsid w:val="007D00C0"/>
    <w:rsid w:val="007D288D"/>
    <w:rsid w:val="007E67E9"/>
    <w:rsid w:val="007E7C01"/>
    <w:rsid w:val="007F1D62"/>
    <w:rsid w:val="007F1DEE"/>
    <w:rsid w:val="007F32F3"/>
    <w:rsid w:val="007F6412"/>
    <w:rsid w:val="008056B2"/>
    <w:rsid w:val="008063D8"/>
    <w:rsid w:val="008108BA"/>
    <w:rsid w:val="0084575C"/>
    <w:rsid w:val="00851DA6"/>
    <w:rsid w:val="00886DBB"/>
    <w:rsid w:val="008902B0"/>
    <w:rsid w:val="00897C14"/>
    <w:rsid w:val="008A31F3"/>
    <w:rsid w:val="008B1257"/>
    <w:rsid w:val="008D07B2"/>
    <w:rsid w:val="008D0D42"/>
    <w:rsid w:val="008D1DA0"/>
    <w:rsid w:val="008D247A"/>
    <w:rsid w:val="008E272B"/>
    <w:rsid w:val="008E4431"/>
    <w:rsid w:val="008E6301"/>
    <w:rsid w:val="008E6B08"/>
    <w:rsid w:val="00913920"/>
    <w:rsid w:val="00914F9C"/>
    <w:rsid w:val="009215C2"/>
    <w:rsid w:val="00926E36"/>
    <w:rsid w:val="00931470"/>
    <w:rsid w:val="009360F4"/>
    <w:rsid w:val="00940A5C"/>
    <w:rsid w:val="00946AE2"/>
    <w:rsid w:val="009736A4"/>
    <w:rsid w:val="0097561C"/>
    <w:rsid w:val="009923EA"/>
    <w:rsid w:val="00993DC5"/>
    <w:rsid w:val="009A7338"/>
    <w:rsid w:val="009B0F02"/>
    <w:rsid w:val="009C229A"/>
    <w:rsid w:val="009D56A5"/>
    <w:rsid w:val="009D7431"/>
    <w:rsid w:val="009E1B39"/>
    <w:rsid w:val="009E2CEE"/>
    <w:rsid w:val="009F20B7"/>
    <w:rsid w:val="00A019DE"/>
    <w:rsid w:val="00A01D77"/>
    <w:rsid w:val="00A2348E"/>
    <w:rsid w:val="00A31597"/>
    <w:rsid w:val="00A315A7"/>
    <w:rsid w:val="00A40D4B"/>
    <w:rsid w:val="00A5491A"/>
    <w:rsid w:val="00A55ADE"/>
    <w:rsid w:val="00A57CED"/>
    <w:rsid w:val="00A63E0E"/>
    <w:rsid w:val="00A6737B"/>
    <w:rsid w:val="00A70E0D"/>
    <w:rsid w:val="00A7263F"/>
    <w:rsid w:val="00A74AAB"/>
    <w:rsid w:val="00A76389"/>
    <w:rsid w:val="00A82712"/>
    <w:rsid w:val="00A8744D"/>
    <w:rsid w:val="00A91B0A"/>
    <w:rsid w:val="00AA68C6"/>
    <w:rsid w:val="00AC5729"/>
    <w:rsid w:val="00AD0393"/>
    <w:rsid w:val="00AD0637"/>
    <w:rsid w:val="00AE342B"/>
    <w:rsid w:val="00B031B8"/>
    <w:rsid w:val="00B14F16"/>
    <w:rsid w:val="00B26C0F"/>
    <w:rsid w:val="00B360DB"/>
    <w:rsid w:val="00B5448C"/>
    <w:rsid w:val="00B8108B"/>
    <w:rsid w:val="00B831A5"/>
    <w:rsid w:val="00B85E99"/>
    <w:rsid w:val="00B90EEC"/>
    <w:rsid w:val="00BA1415"/>
    <w:rsid w:val="00BA41C7"/>
    <w:rsid w:val="00BA7EC7"/>
    <w:rsid w:val="00BC23D4"/>
    <w:rsid w:val="00BC316D"/>
    <w:rsid w:val="00BD42FB"/>
    <w:rsid w:val="00BD6A59"/>
    <w:rsid w:val="00BD764A"/>
    <w:rsid w:val="00BE75DA"/>
    <w:rsid w:val="00BF70B0"/>
    <w:rsid w:val="00C02350"/>
    <w:rsid w:val="00C038B2"/>
    <w:rsid w:val="00C125A4"/>
    <w:rsid w:val="00C165D4"/>
    <w:rsid w:val="00C20FAF"/>
    <w:rsid w:val="00C345E5"/>
    <w:rsid w:val="00C35D1B"/>
    <w:rsid w:val="00C4211E"/>
    <w:rsid w:val="00C43880"/>
    <w:rsid w:val="00C56939"/>
    <w:rsid w:val="00C573B8"/>
    <w:rsid w:val="00C7513E"/>
    <w:rsid w:val="00C83771"/>
    <w:rsid w:val="00C90DEC"/>
    <w:rsid w:val="00C91759"/>
    <w:rsid w:val="00C91BFB"/>
    <w:rsid w:val="00C962C1"/>
    <w:rsid w:val="00CA2913"/>
    <w:rsid w:val="00CD438A"/>
    <w:rsid w:val="00CE78F8"/>
    <w:rsid w:val="00CE7D4B"/>
    <w:rsid w:val="00CF298F"/>
    <w:rsid w:val="00CF2B3D"/>
    <w:rsid w:val="00CF5182"/>
    <w:rsid w:val="00D15723"/>
    <w:rsid w:val="00D31CAB"/>
    <w:rsid w:val="00D36C29"/>
    <w:rsid w:val="00D556A4"/>
    <w:rsid w:val="00D57134"/>
    <w:rsid w:val="00D75A43"/>
    <w:rsid w:val="00DA00E6"/>
    <w:rsid w:val="00DA4D37"/>
    <w:rsid w:val="00DB0C11"/>
    <w:rsid w:val="00DC022B"/>
    <w:rsid w:val="00DE08FC"/>
    <w:rsid w:val="00DF477E"/>
    <w:rsid w:val="00E005BC"/>
    <w:rsid w:val="00E10D74"/>
    <w:rsid w:val="00E10EF5"/>
    <w:rsid w:val="00E31FEC"/>
    <w:rsid w:val="00E4139E"/>
    <w:rsid w:val="00E55B43"/>
    <w:rsid w:val="00E6780D"/>
    <w:rsid w:val="00E67A07"/>
    <w:rsid w:val="00E67AF6"/>
    <w:rsid w:val="00E7380E"/>
    <w:rsid w:val="00E77504"/>
    <w:rsid w:val="00E80CAA"/>
    <w:rsid w:val="00E920CA"/>
    <w:rsid w:val="00EA2D64"/>
    <w:rsid w:val="00EC36E4"/>
    <w:rsid w:val="00ED6CFD"/>
    <w:rsid w:val="00EE67A8"/>
    <w:rsid w:val="00F0057D"/>
    <w:rsid w:val="00F16D18"/>
    <w:rsid w:val="00F17A49"/>
    <w:rsid w:val="00F3045E"/>
    <w:rsid w:val="00F3081C"/>
    <w:rsid w:val="00F340D0"/>
    <w:rsid w:val="00F42658"/>
    <w:rsid w:val="00F4697F"/>
    <w:rsid w:val="00F478F9"/>
    <w:rsid w:val="00F644A2"/>
    <w:rsid w:val="00F7404B"/>
    <w:rsid w:val="00F85D12"/>
    <w:rsid w:val="00FB279E"/>
    <w:rsid w:val="00FB42ED"/>
    <w:rsid w:val="00FC5DA6"/>
    <w:rsid w:val="00FD039E"/>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 w:type="paragraph" w:customStyle="1" w:styleId="c41dispositifintroduction">
    <w:name w:val="c41dispositifintroduction"/>
    <w:basedOn w:val="Normal"/>
    <w:rsid w:val="00200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408501625">
      <w:bodyDiv w:val="1"/>
      <w:marLeft w:val="0"/>
      <w:marRight w:val="0"/>
      <w:marTop w:val="0"/>
      <w:marBottom w:val="0"/>
      <w:divBdr>
        <w:top w:val="none" w:sz="0" w:space="0" w:color="auto"/>
        <w:left w:val="none" w:sz="0" w:space="0" w:color="auto"/>
        <w:bottom w:val="none" w:sz="0" w:space="0" w:color="auto"/>
        <w:right w:val="none" w:sz="0" w:space="0" w:color="auto"/>
      </w:divBdr>
    </w:div>
    <w:div w:id="1416436557">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4</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246</cp:revision>
  <cp:lastPrinted>2018-10-19T07:22:00Z</cp:lastPrinted>
  <dcterms:created xsi:type="dcterms:W3CDTF">2018-10-19T06:05:00Z</dcterms:created>
  <dcterms:modified xsi:type="dcterms:W3CDTF">2021-10-28T13:11:00Z</dcterms:modified>
</cp:coreProperties>
</file>