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3CC" w:rsidRDefault="003023CF" w:rsidP="001733A1">
      <w:pPr>
        <w:tabs>
          <w:tab w:val="left" w:pos="3705"/>
          <w:tab w:val="center" w:pos="5085"/>
        </w:tabs>
        <w:spacing w:before="120" w:after="120" w:line="276" w:lineRule="auto"/>
        <w:jc w:val="center"/>
        <w:rPr>
          <w:rFonts w:ascii="Times New Roman" w:hAnsi="Times New Roman" w:cs="Times New Roman"/>
          <w:b/>
          <w:lang w:val="ro-RO"/>
        </w:rPr>
      </w:pPr>
      <w:r w:rsidRPr="001374F9">
        <w:rPr>
          <w:rFonts w:ascii="Times New Roman" w:hAnsi="Times New Roman" w:cs="Times New Roman"/>
          <w:b/>
          <w:lang w:val="ro-RO"/>
        </w:rPr>
        <w:t>Cauz</w:t>
      </w:r>
      <w:r w:rsidR="004643CC">
        <w:rPr>
          <w:rFonts w:ascii="Times New Roman" w:hAnsi="Times New Roman" w:cs="Times New Roman"/>
          <w:b/>
          <w:lang w:val="ro-RO"/>
        </w:rPr>
        <w:t xml:space="preserve">e conexate </w:t>
      </w:r>
      <w:r w:rsidR="004643CC" w:rsidRPr="004643CC">
        <w:rPr>
          <w:rFonts w:ascii="Times New Roman" w:hAnsi="Times New Roman" w:cs="Times New Roman"/>
          <w:b/>
          <w:lang w:val="ro-RO"/>
        </w:rPr>
        <w:t>C‑721/19 și C‑722/19</w:t>
      </w:r>
    </w:p>
    <w:p w:rsidR="002C438C" w:rsidRPr="004643CC" w:rsidRDefault="004643CC" w:rsidP="004643CC">
      <w:pPr>
        <w:tabs>
          <w:tab w:val="left" w:pos="3705"/>
          <w:tab w:val="center" w:pos="5085"/>
        </w:tabs>
        <w:spacing w:before="120" w:after="120" w:line="276" w:lineRule="auto"/>
        <w:jc w:val="center"/>
        <w:rPr>
          <w:rFonts w:ascii="Times New Roman" w:hAnsi="Times New Roman" w:cs="Times New Roman"/>
          <w:lang w:val="ro-RO"/>
        </w:rPr>
      </w:pPr>
      <w:r w:rsidRPr="004643CC">
        <w:rPr>
          <w:rFonts w:ascii="Times New Roman" w:hAnsi="Times New Roman" w:cs="Times New Roman"/>
          <w:lang w:val="ro-RO"/>
        </w:rPr>
        <w:t>Consiglio di Stato - Sisal SpA, Stanleybet Malta Ltd, Magellan Robotech Ltd/Agenzia delle Dogane e dei Monopoli, Ministero dell’Economia e delle Finanze</w:t>
      </w:r>
    </w:p>
    <w:p w:rsidR="008D247A" w:rsidRPr="00E77504" w:rsidRDefault="004B04E8" w:rsidP="007E7C01">
      <w:pPr>
        <w:tabs>
          <w:tab w:val="left" w:pos="3705"/>
          <w:tab w:val="center" w:pos="5085"/>
        </w:tabs>
        <w:spacing w:before="120" w:after="120" w:line="276" w:lineRule="auto"/>
        <w:jc w:val="center"/>
        <w:rPr>
          <w:rFonts w:ascii="Times New Roman" w:hAnsi="Times New Roman" w:cs="Times New Roman"/>
          <w:b/>
          <w:lang w:val="ro-RO"/>
        </w:rPr>
      </w:pPr>
      <w:r>
        <w:rPr>
          <w:rFonts w:ascii="Times New Roman" w:hAnsi="Times New Roman" w:cs="Times New Roman"/>
          <w:b/>
          <w:lang w:val="ro-RO"/>
        </w:rPr>
        <w:t>H</w:t>
      </w:r>
      <w:r w:rsidR="002C438C" w:rsidRPr="002C438C">
        <w:rPr>
          <w:rFonts w:ascii="Times New Roman" w:hAnsi="Times New Roman" w:cs="Times New Roman"/>
          <w:b/>
          <w:lang w:val="ro-RO"/>
        </w:rPr>
        <w:t>otărârea</w:t>
      </w:r>
      <w:r w:rsidR="008D247A" w:rsidRPr="00E77504">
        <w:rPr>
          <w:rFonts w:ascii="Times New Roman" w:hAnsi="Times New Roman" w:cs="Times New Roman"/>
          <w:b/>
          <w:lang w:val="ro-RO"/>
        </w:rPr>
        <w:t xml:space="preserve"> Curții (Camera a</w:t>
      </w:r>
      <w:r w:rsidR="008D247A" w:rsidRPr="00DB0C11">
        <w:rPr>
          <w:rFonts w:ascii="Times New Roman" w:hAnsi="Times New Roman" w:cs="Times New Roman"/>
          <w:b/>
          <w:lang w:val="ro-RO"/>
        </w:rPr>
        <w:t xml:space="preserve"> </w:t>
      </w:r>
      <w:r w:rsidR="00E602C4" w:rsidRPr="00E602C4">
        <w:rPr>
          <w:rFonts w:ascii="Times New Roman" w:hAnsi="Times New Roman" w:cs="Times New Roman"/>
          <w:b/>
          <w:lang w:val="ro-RO"/>
        </w:rPr>
        <w:t>cincea</w:t>
      </w:r>
      <w:r w:rsidR="008D247A" w:rsidRPr="00E77504">
        <w:rPr>
          <w:rFonts w:ascii="Times New Roman" w:hAnsi="Times New Roman" w:cs="Times New Roman"/>
          <w:b/>
          <w:lang w:val="ro-RO"/>
        </w:rPr>
        <w:t>)</w:t>
      </w:r>
    </w:p>
    <w:p w:rsidR="002D441E" w:rsidRDefault="00E31FEC" w:rsidP="002D441E">
      <w:pPr>
        <w:spacing w:before="120" w:after="120" w:line="276" w:lineRule="auto"/>
        <w:jc w:val="center"/>
        <w:rPr>
          <w:rFonts w:ascii="Times New Roman" w:hAnsi="Times New Roman" w:cs="Times New Roman"/>
          <w:b/>
          <w:lang w:val="ro-RO"/>
        </w:rPr>
      </w:pPr>
      <w:r>
        <w:rPr>
          <w:rFonts w:ascii="Times New Roman" w:hAnsi="Times New Roman" w:cs="Times New Roman"/>
          <w:b/>
          <w:lang w:val="ro-RO"/>
        </w:rPr>
        <w:t xml:space="preserve">din </w:t>
      </w:r>
      <w:r w:rsidR="00E602C4" w:rsidRPr="00E602C4">
        <w:rPr>
          <w:rFonts w:ascii="Times New Roman" w:hAnsi="Times New Roman" w:cs="Times New Roman"/>
          <w:b/>
          <w:lang w:val="ro-RO"/>
        </w:rPr>
        <w:t>2 septembrie 2021</w:t>
      </w:r>
    </w:p>
    <w:p w:rsidR="004C388A" w:rsidRDefault="003023CF" w:rsidP="00AC5729">
      <w:pPr>
        <w:spacing w:before="120" w:after="120" w:line="276" w:lineRule="auto"/>
        <w:jc w:val="both"/>
        <w:rPr>
          <w:rFonts w:ascii="Times New Roman" w:hAnsi="Times New Roman" w:cs="Times New Roman"/>
        </w:rPr>
      </w:pPr>
      <w:r w:rsidRPr="001374F9">
        <w:rPr>
          <w:rFonts w:ascii="Times New Roman" w:hAnsi="Times New Roman" w:cs="Times New Roman"/>
          <w:b/>
          <w:lang w:val="ro-RO"/>
        </w:rPr>
        <w:t>Identificator</w:t>
      </w:r>
      <w:r w:rsidR="009A7338" w:rsidRPr="001374F9">
        <w:rPr>
          <w:rFonts w:ascii="Times New Roman" w:hAnsi="Times New Roman" w:cs="Times New Roman"/>
          <w:b/>
          <w:lang w:val="ro-RO"/>
        </w:rPr>
        <w:t xml:space="preserve"> ECLI</w:t>
      </w:r>
      <w:r w:rsidR="003A5763" w:rsidRPr="001374F9">
        <w:rPr>
          <w:rFonts w:ascii="Times New Roman" w:hAnsi="Times New Roman" w:cs="Times New Roman"/>
          <w:b/>
          <w:lang w:val="ro-RO"/>
        </w:rPr>
        <w:t>:</w:t>
      </w:r>
      <w:r w:rsidR="0030692D" w:rsidRPr="0030692D">
        <w:rPr>
          <w:rFonts w:ascii="Times New Roman" w:hAnsi="Times New Roman" w:cs="Times New Roman"/>
        </w:rPr>
        <w:t xml:space="preserve"> </w:t>
      </w:r>
      <w:r w:rsidR="00CC4D4A" w:rsidRPr="00CC4D4A">
        <w:rPr>
          <w:rFonts w:ascii="Times New Roman" w:hAnsi="Times New Roman" w:cs="Times New Roman"/>
        </w:rPr>
        <w:t>ECLI:EU:C:2021:672</w:t>
      </w:r>
    </w:p>
    <w:p w:rsidR="00AE342B" w:rsidRDefault="003A5763" w:rsidP="004951D2">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EUR-Lex</w:t>
      </w:r>
      <w:r w:rsidRPr="001374F9">
        <w:rPr>
          <w:rFonts w:ascii="Times New Roman" w:hAnsi="Times New Roman" w:cs="Times New Roman"/>
          <w:lang w:val="ro-RO"/>
        </w:rPr>
        <w:t xml:space="preserve">: </w:t>
      </w:r>
      <w:r w:rsidR="005A0E24" w:rsidRPr="00FF3227">
        <w:rPr>
          <w:rFonts w:ascii="Times New Roman" w:hAnsi="Times New Roman" w:cs="Times New Roman"/>
        </w:rPr>
        <w:t>62019CJ0721</w:t>
      </w:r>
    </w:p>
    <w:p w:rsidR="002C438C" w:rsidRPr="002C438C" w:rsidRDefault="004951D2" w:rsidP="004951D2">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 xml:space="preserve">Tip procedură: </w:t>
      </w:r>
      <w:r w:rsidR="00A55ADE" w:rsidRPr="00A55ADE">
        <w:rPr>
          <w:rFonts w:ascii="Times New Roman" w:hAnsi="Times New Roman" w:cs="Times New Roman"/>
          <w:lang w:val="ro-RO"/>
        </w:rPr>
        <w:t>cerere de pronunţare a unei decizii preliminare</w:t>
      </w:r>
    </w:p>
    <w:p w:rsidR="00340CE2" w:rsidRPr="001374F9" w:rsidRDefault="00340CE2" w:rsidP="004951D2">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Materie</w:t>
      </w:r>
      <w:r w:rsidRPr="001374F9">
        <w:rPr>
          <w:rFonts w:ascii="Times New Roman" w:hAnsi="Times New Roman" w:cs="Times New Roman"/>
          <w:lang w:val="ro-RO"/>
        </w:rPr>
        <w:t>:</w:t>
      </w:r>
      <w:r w:rsidRPr="001374F9">
        <w:rPr>
          <w:rFonts w:ascii="Times New Roman" w:hAnsi="Times New Roman" w:cs="Times New Roman"/>
        </w:rPr>
        <w:t xml:space="preserve"> </w:t>
      </w:r>
      <w:r w:rsidR="00A55ADE" w:rsidRPr="00A55ADE">
        <w:rPr>
          <w:rFonts w:ascii="Times New Roman" w:hAnsi="Times New Roman" w:cs="Times New Roman"/>
          <w:lang w:val="ro-RO"/>
        </w:rPr>
        <w:t>libertatea de reglementare, libera prestare a serviciilor, armonizare legislativă</w:t>
      </w:r>
    </w:p>
    <w:p w:rsidR="002263AA" w:rsidRDefault="004951D2" w:rsidP="00FB279E">
      <w:pPr>
        <w:spacing w:before="120" w:after="120" w:line="276" w:lineRule="auto"/>
        <w:jc w:val="both"/>
        <w:rPr>
          <w:rFonts w:ascii="Times New Roman" w:hAnsi="Times New Roman" w:cs="Times New Roman"/>
        </w:rPr>
      </w:pPr>
      <w:r w:rsidRPr="001374F9">
        <w:rPr>
          <w:rFonts w:ascii="Times New Roman" w:hAnsi="Times New Roman" w:cs="Times New Roman"/>
          <w:b/>
          <w:lang w:val="ro-RO"/>
        </w:rPr>
        <w:t>Subiect (cuvinte cheie):</w:t>
      </w:r>
      <w:r w:rsidR="00D15723" w:rsidRPr="001374F9">
        <w:rPr>
          <w:rFonts w:ascii="Times New Roman" w:hAnsi="Times New Roman" w:cs="Times New Roman"/>
        </w:rPr>
        <w:t xml:space="preserve"> </w:t>
      </w:r>
      <w:r w:rsidR="009E1B39" w:rsidRPr="009E1B39">
        <w:rPr>
          <w:rFonts w:ascii="Times New Roman" w:hAnsi="Times New Roman" w:cs="Times New Roman"/>
        </w:rPr>
        <w:t>„</w:t>
      </w:r>
      <w:r w:rsidR="00F24CB3" w:rsidRPr="00F24CB3">
        <w:rPr>
          <w:rFonts w:ascii="Times New Roman" w:hAnsi="Times New Roman" w:cs="Times New Roman"/>
        </w:rPr>
        <w:t xml:space="preserve">trimitere preliminară, art. 49 și 56 TFUE, libera prestare a serviciilor, restricționări, Directiva 2014/23/UE, proceduri de atribuire a contractelor de concesiune, articolul 43 – modificări substanțiale, jocuri loto cu pretrageri, reglementare națională care prevede reînnoirea unei concesiuni fără organizarea unei noi proceduri de atribuire, Directiva 89/665/CEE, art. 1 alin. (3), interesul de </w:t>
      </w:r>
      <w:proofErr w:type="gramStart"/>
      <w:r w:rsidR="00F24CB3" w:rsidRPr="00F24CB3">
        <w:rPr>
          <w:rFonts w:ascii="Times New Roman" w:hAnsi="Times New Roman" w:cs="Times New Roman"/>
        </w:rPr>
        <w:t>a</w:t>
      </w:r>
      <w:proofErr w:type="gramEnd"/>
      <w:r w:rsidR="00F24CB3" w:rsidRPr="00F24CB3">
        <w:rPr>
          <w:rFonts w:ascii="Times New Roman" w:hAnsi="Times New Roman" w:cs="Times New Roman"/>
        </w:rPr>
        <w:t xml:space="preserve"> exercita acțiunea</w:t>
      </w:r>
      <w:r w:rsidR="009E1B39" w:rsidRPr="009E1B39">
        <w:rPr>
          <w:rFonts w:ascii="Times New Roman" w:hAnsi="Times New Roman" w:cs="Times New Roman"/>
        </w:rPr>
        <w:t>”</w:t>
      </w:r>
    </w:p>
    <w:p w:rsidR="00D15723" w:rsidRPr="001374F9" w:rsidRDefault="00D15723" w:rsidP="00FB279E">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Instanţa de trimitere</w:t>
      </w:r>
      <w:r w:rsidRPr="001374F9">
        <w:rPr>
          <w:rFonts w:ascii="Times New Roman" w:hAnsi="Times New Roman" w:cs="Times New Roman"/>
          <w:lang w:val="ro-RO"/>
        </w:rPr>
        <w:t>:</w:t>
      </w:r>
      <w:r w:rsidRPr="001374F9">
        <w:rPr>
          <w:rFonts w:ascii="Times New Roman" w:hAnsi="Times New Roman" w:cs="Times New Roman"/>
        </w:rPr>
        <w:t xml:space="preserve"> </w:t>
      </w:r>
      <w:r w:rsidR="00DF5965" w:rsidRPr="00DF5965">
        <w:rPr>
          <w:rFonts w:ascii="Times New Roman" w:hAnsi="Times New Roman" w:cs="Times New Roman"/>
        </w:rPr>
        <w:t>Consiglio di Stato (Consiliul de Stat, Italia)</w:t>
      </w:r>
    </w:p>
    <w:p w:rsidR="00D15723" w:rsidRDefault="00D15723" w:rsidP="00D15723">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Părţi în procedura principală</w:t>
      </w:r>
      <w:r w:rsidRPr="001374F9">
        <w:rPr>
          <w:rFonts w:ascii="Times New Roman" w:hAnsi="Times New Roman" w:cs="Times New Roman"/>
          <w:lang w:val="ro-RO"/>
        </w:rPr>
        <w:t>:</w:t>
      </w:r>
    </w:p>
    <w:p w:rsidR="00FF3227" w:rsidRPr="00FF3227" w:rsidRDefault="00FF3227" w:rsidP="00FF3227">
      <w:pPr>
        <w:spacing w:before="120" w:after="120" w:line="276" w:lineRule="auto"/>
        <w:jc w:val="both"/>
        <w:rPr>
          <w:rFonts w:ascii="Times New Roman" w:hAnsi="Times New Roman" w:cs="Times New Roman"/>
        </w:rPr>
      </w:pPr>
      <w:r w:rsidRPr="00FF3227">
        <w:rPr>
          <w:rFonts w:ascii="Times New Roman" w:hAnsi="Times New Roman" w:cs="Times New Roman"/>
        </w:rPr>
        <w:t>Apelantă: Sisal SpA</w:t>
      </w:r>
      <w:r>
        <w:rPr>
          <w:rFonts w:ascii="Times New Roman" w:hAnsi="Times New Roman" w:cs="Times New Roman"/>
        </w:rPr>
        <w:t>/</w:t>
      </w:r>
      <w:r w:rsidRPr="00FF3227">
        <w:t xml:space="preserve"> </w:t>
      </w:r>
      <w:r w:rsidRPr="00FF3227">
        <w:rPr>
          <w:rFonts w:ascii="Times New Roman" w:hAnsi="Times New Roman" w:cs="Times New Roman"/>
        </w:rPr>
        <w:t>Stanleybet Malta Ltd, Magellan Robotech Ltd</w:t>
      </w:r>
    </w:p>
    <w:p w:rsidR="00FF3227" w:rsidRDefault="00FF3227" w:rsidP="00FF3227">
      <w:pPr>
        <w:spacing w:before="120" w:after="120" w:line="276" w:lineRule="auto"/>
        <w:jc w:val="both"/>
        <w:rPr>
          <w:rFonts w:ascii="Times New Roman" w:hAnsi="Times New Roman" w:cs="Times New Roman"/>
          <w:b/>
          <w:lang w:val="ro-RO"/>
        </w:rPr>
      </w:pPr>
      <w:r w:rsidRPr="00FF3227">
        <w:rPr>
          <w:rFonts w:ascii="Times New Roman" w:hAnsi="Times New Roman" w:cs="Times New Roman"/>
        </w:rPr>
        <w:t>Intimate: Agenzia delle Dogane e dei Monopoli, Ministero dell’Economia e delle Finanze</w:t>
      </w:r>
      <w:r w:rsidRPr="00FF3227">
        <w:rPr>
          <w:rFonts w:ascii="Times New Roman" w:hAnsi="Times New Roman" w:cs="Times New Roman"/>
          <w:b/>
          <w:lang w:val="ro-RO"/>
        </w:rPr>
        <w:t xml:space="preserve"> </w:t>
      </w:r>
    </w:p>
    <w:p w:rsidR="00457A30" w:rsidRPr="00457A30" w:rsidRDefault="00F85D12" w:rsidP="00FF3227">
      <w:pPr>
        <w:spacing w:before="120" w:after="120" w:line="276" w:lineRule="auto"/>
        <w:jc w:val="both"/>
        <w:rPr>
          <w:rFonts w:ascii="Times New Roman" w:hAnsi="Times New Roman" w:cs="Times New Roman"/>
        </w:rPr>
      </w:pPr>
      <w:r w:rsidRPr="001374F9">
        <w:rPr>
          <w:rFonts w:ascii="Times New Roman" w:hAnsi="Times New Roman" w:cs="Times New Roman"/>
          <w:b/>
          <w:lang w:val="ro-RO"/>
        </w:rPr>
        <w:t>Obiectul cauzei:</w:t>
      </w:r>
      <w:r w:rsidR="002C438C" w:rsidRPr="002C438C">
        <w:t xml:space="preserve"> </w:t>
      </w:r>
      <w:r w:rsidR="00644A32" w:rsidRPr="00644A32">
        <w:rPr>
          <w:rFonts w:ascii="Times New Roman" w:hAnsi="Times New Roman" w:cs="Times New Roman"/>
        </w:rPr>
        <w:t>Consiglio di Stato (Consiliul de Stat, Italia) a formulat cereri de decizie preliminară în cadrul a două litigii (C‑721/19 și C‑722/19) între Sisal SpA, respectiv între Stanleybet Malta Ltd, pe de o parte, și Agenzia delle Dogane e dei Monopoli (Agenția Vămilor și a Monopolurilor, Italia), Ministero dell’Economia e delle Finanze (Ministerul Economiei și Finanțelor, Italia) și Lotterie Nazionali Srl și Lottomatica Holding Srl (fostă Lottomatica SpA), pe de altă parte, în legătură cu conformitatea cu dreptul Uniunii a măsurii prin care Agenzia delle Dogane e dei Monopoli a reînnoit, în anul 2017, concesiunea atribuită Lotterie Nazionali în anul 2010 pentru gestionarea jocurilor loto cu pretrageri.</w:t>
      </w:r>
    </w:p>
    <w:p w:rsidR="00CC4D4A" w:rsidRDefault="00666313" w:rsidP="00C345E5">
      <w:pPr>
        <w:spacing w:before="120" w:after="120" w:line="276" w:lineRule="auto"/>
        <w:jc w:val="both"/>
        <w:rPr>
          <w:rFonts w:ascii="Times New Roman" w:hAnsi="Times New Roman" w:cs="Times New Roman"/>
        </w:rPr>
      </w:pPr>
      <w:r w:rsidRPr="001374F9">
        <w:rPr>
          <w:rFonts w:ascii="Times New Roman" w:hAnsi="Times New Roman" w:cs="Times New Roman"/>
          <w:b/>
          <w:lang w:val="ro-RO"/>
        </w:rPr>
        <w:t>Cadrul juridic</w:t>
      </w:r>
      <w:r w:rsidRPr="00567A53">
        <w:rPr>
          <w:rFonts w:ascii="Times New Roman" w:hAnsi="Times New Roman" w:cs="Times New Roman"/>
        </w:rPr>
        <w:t xml:space="preserve">: </w:t>
      </w:r>
      <w:r w:rsidR="0045128B" w:rsidRPr="0045128B">
        <w:rPr>
          <w:rFonts w:ascii="Times New Roman" w:hAnsi="Times New Roman" w:cs="Times New Roman"/>
        </w:rPr>
        <w:t xml:space="preserve">art. 3 alin (1), art. 43 alin. (1), (4), (5), art. 46, art. 51 alin. (1), art. 54 din Directiva 2014/23/UE, art. 1 alin. (3) </w:t>
      </w:r>
      <w:proofErr w:type="gramStart"/>
      <w:r w:rsidR="0045128B" w:rsidRPr="0045128B">
        <w:rPr>
          <w:rFonts w:ascii="Times New Roman" w:hAnsi="Times New Roman" w:cs="Times New Roman"/>
        </w:rPr>
        <w:t>din</w:t>
      </w:r>
      <w:proofErr w:type="gramEnd"/>
      <w:r w:rsidR="0045128B" w:rsidRPr="0045128B">
        <w:rPr>
          <w:rFonts w:ascii="Times New Roman" w:hAnsi="Times New Roman" w:cs="Times New Roman"/>
        </w:rPr>
        <w:t xml:space="preserve"> Directiva 89/665/CEE</w:t>
      </w:r>
    </w:p>
    <w:p w:rsidR="00457A30" w:rsidRPr="00567A53" w:rsidRDefault="003A30AB" w:rsidP="00FE3C8D">
      <w:pPr>
        <w:spacing w:after="0" w:line="276" w:lineRule="auto"/>
        <w:jc w:val="both"/>
        <w:rPr>
          <w:rFonts w:ascii="Times New Roman" w:hAnsi="Times New Roman" w:cs="Times New Roman"/>
        </w:rPr>
      </w:pPr>
      <w:r w:rsidRPr="001374F9">
        <w:rPr>
          <w:rFonts w:ascii="Times New Roman" w:hAnsi="Times New Roman" w:cs="Times New Roman"/>
          <w:b/>
          <w:lang w:val="ro-RO"/>
        </w:rPr>
        <w:t>Întreb</w:t>
      </w:r>
      <w:r>
        <w:rPr>
          <w:rFonts w:ascii="Times New Roman" w:hAnsi="Times New Roman" w:cs="Times New Roman"/>
          <w:b/>
          <w:lang w:val="ro-RO"/>
        </w:rPr>
        <w:t>ări preliminare:</w:t>
      </w:r>
    </w:p>
    <w:p w:rsidR="00FE3C8D" w:rsidRPr="00FE3C8D" w:rsidRDefault="001F28A9" w:rsidP="00FE3C8D">
      <w:pPr>
        <w:pStyle w:val="NormalWeb"/>
        <w:spacing w:before="120" w:beforeAutospacing="0" w:after="0" w:afterAutospacing="0" w:line="276" w:lineRule="auto"/>
        <w:jc w:val="both"/>
        <w:rPr>
          <w:rFonts w:eastAsiaTheme="minorHAnsi"/>
          <w:i/>
          <w:sz w:val="22"/>
          <w:szCs w:val="22"/>
        </w:rPr>
      </w:pPr>
      <w:r w:rsidRPr="00FE3C8D">
        <w:rPr>
          <w:rFonts w:eastAsiaTheme="minorHAnsi"/>
          <w:sz w:val="22"/>
          <w:szCs w:val="22"/>
        </w:rPr>
        <w:t>„</w:t>
      </w:r>
      <w:r w:rsidR="00FE3C8D" w:rsidRPr="00FE3C8D">
        <w:rPr>
          <w:rFonts w:eastAsiaTheme="minorHAnsi"/>
          <w:sz w:val="22"/>
          <w:szCs w:val="22"/>
        </w:rPr>
        <w:t xml:space="preserve"> </w:t>
      </w:r>
      <w:r w:rsidR="00FE3C8D" w:rsidRPr="00FE3C8D">
        <w:rPr>
          <w:rFonts w:eastAsiaTheme="minorHAnsi"/>
          <w:i/>
          <w:sz w:val="22"/>
          <w:szCs w:val="22"/>
        </w:rPr>
        <w:t>Dreptul Uniunii, în special dreptul de stabilire și de liberă prestare a serviciilor (articolul 49 și următoarele și articolul 56 și următoarele TFUE) și principiile [de drept al Uniunii Europene] privind securitatea juridică, nediscriminarea, transparența și imparțialitatea, libera concurență, proporționalitatea, încrederea legitimă și coerența, precum și – în măsura în care sunt considerate aplicabile – articolele 3 și 43 din Directiva 2014/23/UE</w:t>
      </w:r>
      <w:hyperlink r:id="rId7" w:anchor="1" w:history="1">
        <w:r w:rsidR="00FE3C8D" w:rsidRPr="00FE3C8D">
          <w:rPr>
            <w:rFonts w:eastAsiaTheme="minorHAnsi"/>
            <w:i/>
            <w:sz w:val="22"/>
            <w:szCs w:val="22"/>
          </w:rPr>
          <w:t>1</w:t>
        </w:r>
      </w:hyperlink>
      <w:r w:rsidR="00FE3C8D" w:rsidRPr="00FE3C8D">
        <w:rPr>
          <w:rFonts w:eastAsiaTheme="minorHAnsi"/>
          <w:i/>
          <w:sz w:val="22"/>
          <w:szCs w:val="22"/>
        </w:rPr>
        <w:t> , trebuie interpretat în sensul că se opune unei reglementări precum cea cuprinsă la articolul 20 alineatul 1 din Decretul-lege nr. 148 din 16 octombrie 2017 și în actele subsecvente de punere în aplicare, care prevede că „1. În temeiul articolului 21 alineatele 3 și 4 din Decretul-lege nr. 78 din 1 iulie 2009, aprobat cu modificări prin Legea nr. 102 din 3 august 2009, Agenzia delle dogane e dei monopoli [Agenția Vamală și a Monopolurilor] procedează la autorizarea continuării raportului de concesiune existent, referitor la colectarea, inclusiv la distanță, a pariurilor pentru jocurile loto naționale cu pretrageri, până la termenul final prevăzut la articolul 4 alineatul 1 din actul de concesiune, astfel încât să se asigure venituri noi și mai mari la bugetul statului, în cuantum de 50 de milioane de euro pentru anul 2017 și de 750 de milioane de euro pentru anul 2018”, într-o situație în care:</w:t>
      </w:r>
    </w:p>
    <w:p w:rsidR="00FE3C8D" w:rsidRPr="00FE3C8D" w:rsidRDefault="00FE3C8D" w:rsidP="00FE3C8D">
      <w:pPr>
        <w:spacing w:before="120" w:after="0" w:line="276" w:lineRule="auto"/>
        <w:jc w:val="both"/>
        <w:rPr>
          <w:rFonts w:ascii="Times New Roman" w:hAnsi="Times New Roman" w:cs="Times New Roman"/>
          <w:i/>
        </w:rPr>
      </w:pPr>
      <w:proofErr w:type="gramStart"/>
      <w:r w:rsidRPr="00FE3C8D">
        <w:rPr>
          <w:rFonts w:ascii="Times New Roman" w:hAnsi="Times New Roman" w:cs="Times New Roman"/>
          <w:i/>
        </w:rPr>
        <w:lastRenderedPageBreak/>
        <w:t>articolul</w:t>
      </w:r>
      <w:proofErr w:type="gramEnd"/>
      <w:r w:rsidRPr="00FE3C8D">
        <w:rPr>
          <w:rFonts w:ascii="Times New Roman" w:hAnsi="Times New Roman" w:cs="Times New Roman"/>
          <w:i/>
        </w:rPr>
        <w:t xml:space="preserve"> 21 alineatul 1 din Decretul-lege nr. 78 din 1 iulie 2009, aprobat cu modificări prin Legea nr. 102 din 3 iulie 2009, a prevăzut atribuirea concesiunilor în discuție, de regulă, unei pluralități de entități selectate prin intermediul unor proceduri deschise, competitive și nediscriminatorii;</w:t>
      </w:r>
    </w:p>
    <w:p w:rsidR="00FE3C8D" w:rsidRPr="00FE3C8D" w:rsidRDefault="00FE3C8D" w:rsidP="00FE3C8D">
      <w:pPr>
        <w:spacing w:before="120" w:after="0" w:line="276" w:lineRule="auto"/>
        <w:jc w:val="both"/>
        <w:rPr>
          <w:rFonts w:ascii="Times New Roman" w:hAnsi="Times New Roman" w:cs="Times New Roman"/>
          <w:i/>
        </w:rPr>
      </w:pPr>
      <w:proofErr w:type="gramStart"/>
      <w:r w:rsidRPr="00FE3C8D">
        <w:rPr>
          <w:rFonts w:ascii="Times New Roman" w:hAnsi="Times New Roman" w:cs="Times New Roman"/>
          <w:i/>
        </w:rPr>
        <w:t>articolul</w:t>
      </w:r>
      <w:proofErr w:type="gramEnd"/>
      <w:r w:rsidRPr="00FE3C8D">
        <w:rPr>
          <w:rFonts w:ascii="Times New Roman" w:hAnsi="Times New Roman" w:cs="Times New Roman"/>
          <w:i/>
        </w:rPr>
        <w:t xml:space="preserve"> 21 alineatul 4 din decretul citat a prevăzut că concesiunile menționate la alineatul 1 pot fi prelungite, dacă este cazul, numai o singură dată;</w:t>
      </w:r>
    </w:p>
    <w:p w:rsidR="00FE3C8D" w:rsidRPr="00FE3C8D" w:rsidRDefault="00FE3C8D" w:rsidP="00FE3C8D">
      <w:pPr>
        <w:spacing w:before="120" w:after="0" w:line="276" w:lineRule="auto"/>
        <w:jc w:val="both"/>
        <w:rPr>
          <w:rFonts w:ascii="Times New Roman" w:hAnsi="Times New Roman" w:cs="Times New Roman"/>
          <w:i/>
        </w:rPr>
      </w:pPr>
      <w:proofErr w:type="gramStart"/>
      <w:r w:rsidRPr="00FE3C8D">
        <w:rPr>
          <w:rFonts w:ascii="Times New Roman" w:hAnsi="Times New Roman" w:cs="Times New Roman"/>
          <w:i/>
        </w:rPr>
        <w:t>la</w:t>
      </w:r>
      <w:proofErr w:type="gramEnd"/>
      <w:r w:rsidRPr="00FE3C8D">
        <w:rPr>
          <w:rFonts w:ascii="Times New Roman" w:hAnsi="Times New Roman" w:cs="Times New Roman"/>
          <w:i/>
        </w:rPr>
        <w:t xml:space="preserve"> procedura de cerere de ofertă inițiată în anul 2010 nu au participat societățile apelante;</w:t>
      </w:r>
    </w:p>
    <w:p w:rsidR="00FE3C8D" w:rsidRPr="00FE3C8D" w:rsidRDefault="00FE3C8D" w:rsidP="00FE3C8D">
      <w:pPr>
        <w:spacing w:before="120" w:after="0" w:line="276" w:lineRule="auto"/>
        <w:jc w:val="both"/>
        <w:rPr>
          <w:rFonts w:ascii="Times New Roman" w:hAnsi="Times New Roman" w:cs="Times New Roman"/>
          <w:i/>
        </w:rPr>
      </w:pPr>
      <w:proofErr w:type="gramStart"/>
      <w:r w:rsidRPr="00FE3C8D">
        <w:rPr>
          <w:rFonts w:ascii="Times New Roman" w:hAnsi="Times New Roman" w:cs="Times New Roman"/>
          <w:i/>
        </w:rPr>
        <w:t>raportul</w:t>
      </w:r>
      <w:proofErr w:type="gramEnd"/>
      <w:r w:rsidRPr="00FE3C8D">
        <w:rPr>
          <w:rFonts w:ascii="Times New Roman" w:hAnsi="Times New Roman" w:cs="Times New Roman"/>
          <w:i/>
        </w:rPr>
        <w:t xml:space="preserve"> specific existent a fost instituit ab origine cu un concesionar unic, în urma unei proceduri de achiziții publice, în care a fost depusă o singură ofertă;</w:t>
      </w:r>
    </w:p>
    <w:p w:rsidR="00FE3C8D" w:rsidRPr="00FE3C8D" w:rsidRDefault="00FE3C8D" w:rsidP="00FE3C8D">
      <w:pPr>
        <w:spacing w:before="120" w:after="0" w:line="276" w:lineRule="auto"/>
        <w:jc w:val="both"/>
        <w:rPr>
          <w:rFonts w:ascii="Times New Roman" w:hAnsi="Times New Roman" w:cs="Times New Roman"/>
          <w:i/>
        </w:rPr>
      </w:pPr>
      <w:proofErr w:type="gramStart"/>
      <w:r w:rsidRPr="00FE3C8D">
        <w:rPr>
          <w:rFonts w:ascii="Times New Roman" w:hAnsi="Times New Roman" w:cs="Times New Roman"/>
          <w:i/>
        </w:rPr>
        <w:t>continuarea</w:t>
      </w:r>
      <w:proofErr w:type="gramEnd"/>
      <w:r w:rsidRPr="00FE3C8D">
        <w:rPr>
          <w:rFonts w:ascii="Times New Roman" w:hAnsi="Times New Roman" w:cs="Times New Roman"/>
          <w:i/>
        </w:rPr>
        <w:t xml:space="preserve"> raportului de concesiune existent ar presupune – în mod concret – că un astfel de raport ar continua exclusiv cu acest concesionar unic, iar nu prin prelungiri în favoarea unei pluralități de entități, fără o altă procedură de cerere de ofertă?</w:t>
      </w:r>
    </w:p>
    <w:p w:rsidR="00FE3C8D" w:rsidRPr="00FE3C8D" w:rsidRDefault="00FE3C8D" w:rsidP="00FE3C8D">
      <w:pPr>
        <w:spacing w:before="120" w:after="0" w:line="276" w:lineRule="auto"/>
        <w:jc w:val="both"/>
        <w:rPr>
          <w:rFonts w:ascii="Times New Roman" w:hAnsi="Times New Roman" w:cs="Times New Roman"/>
          <w:i/>
        </w:rPr>
      </w:pPr>
      <w:r w:rsidRPr="00FE3C8D">
        <w:rPr>
          <w:rFonts w:ascii="Times New Roman" w:hAnsi="Times New Roman" w:cs="Times New Roman"/>
          <w:i/>
        </w:rPr>
        <w:t>Dreptul Uniunii, în special dreptul de stabilire și de liberă prestare a serviciilor (articolul 49 și următoarele și articolul 56 și următoarele TFUE) și principiile [de drept al Uniunii Europene] privind securitatea juridică, nediscriminarea, transparența și imparțialitatea, libera concurență, proporționalitatea, încrederea legitimă și coerența, precum și – în măsura în care sunt considerate aplicabile – articolele 3 și 43 din Directiva 2014/23/UE, trebuie interpretat în sensul că se opune unei reglementări precum cea cuprinsă la articolul 20 alineatul 1 din Decretul-lege nr. 148 din 16 octombrie 2017, care, în temeiul declarat al articolului 21 alineatele 3 și 4 din Decretul-lege nr. 78 din 1 iulie 2009, aprobat cu modificări prin Legea nr. 102 din 3 august 2009, prevede că „Agenzia delle dogane e dei monopoli [Agenția Vamală și a Monopolurilor] procedează la autorizarea continuării raportului de concesiune existent, referitor la colectarea, inclusiv la distanță, a pariurilor pentru jocurile loto naționale cu pretrageri, până la termenul final prevăzut la articolul 4 alineatul 1 din actul de concesiune, astfel încât să se asigure venituri noi și mai mari la bugetul statului, în cuantum de 50 de milioane de euro pentru anul 2017 și de 750 de milioane de euro pentru anul 2018”, prevăzând următoarele:</w:t>
      </w:r>
    </w:p>
    <w:p w:rsidR="00FE3C8D" w:rsidRPr="00FE3C8D" w:rsidRDefault="00FE3C8D" w:rsidP="00FE3C8D">
      <w:pPr>
        <w:spacing w:before="120" w:after="0" w:line="276" w:lineRule="auto"/>
        <w:jc w:val="both"/>
        <w:rPr>
          <w:rFonts w:ascii="Times New Roman" w:hAnsi="Times New Roman" w:cs="Times New Roman"/>
          <w:i/>
        </w:rPr>
      </w:pPr>
      <w:proofErr w:type="gramStart"/>
      <w:r w:rsidRPr="00FE3C8D">
        <w:rPr>
          <w:rFonts w:ascii="Times New Roman" w:hAnsi="Times New Roman" w:cs="Times New Roman"/>
          <w:i/>
        </w:rPr>
        <w:t>prin</w:t>
      </w:r>
      <w:proofErr w:type="gramEnd"/>
      <w:r w:rsidRPr="00FE3C8D">
        <w:rPr>
          <w:rFonts w:ascii="Times New Roman" w:hAnsi="Times New Roman" w:cs="Times New Roman"/>
          <w:i/>
        </w:rPr>
        <w:t xml:space="preserve"> continuarea în timp a unicului raport de concesiune existent, în loc de eventuala prelungire a unor concesiuni multiple potrivit articolului 21 alineatul 4 din Decretul-lege nr. 78 din 1 iulie 2009, aprobat cu modificări prin Legea nr. 102 din 3 iulie 2009, și fără </w:t>
      </w:r>
      <w:proofErr w:type="gramStart"/>
      <w:r w:rsidRPr="00FE3C8D">
        <w:rPr>
          <w:rFonts w:ascii="Times New Roman" w:hAnsi="Times New Roman" w:cs="Times New Roman"/>
          <w:i/>
        </w:rPr>
        <w:t>a</w:t>
      </w:r>
      <w:proofErr w:type="gramEnd"/>
      <w:r w:rsidRPr="00FE3C8D">
        <w:rPr>
          <w:rFonts w:ascii="Times New Roman" w:hAnsi="Times New Roman" w:cs="Times New Roman"/>
          <w:i/>
        </w:rPr>
        <w:t xml:space="preserve"> organiza o nouă procedură de cerere de ofertă;</w:t>
      </w:r>
    </w:p>
    <w:p w:rsidR="00FE3C8D" w:rsidRPr="00FE3C8D" w:rsidRDefault="00FE3C8D" w:rsidP="00FE3C8D">
      <w:pPr>
        <w:spacing w:before="120" w:after="0" w:line="276" w:lineRule="auto"/>
        <w:jc w:val="both"/>
        <w:rPr>
          <w:rFonts w:ascii="Times New Roman" w:hAnsi="Times New Roman" w:cs="Times New Roman"/>
          <w:i/>
        </w:rPr>
      </w:pPr>
      <w:proofErr w:type="gramStart"/>
      <w:r w:rsidRPr="00FE3C8D">
        <w:rPr>
          <w:rFonts w:ascii="Times New Roman" w:hAnsi="Times New Roman" w:cs="Times New Roman"/>
          <w:i/>
        </w:rPr>
        <w:t>la</w:t>
      </w:r>
      <w:proofErr w:type="gramEnd"/>
      <w:r w:rsidRPr="00FE3C8D">
        <w:rPr>
          <w:rFonts w:ascii="Times New Roman" w:hAnsi="Times New Roman" w:cs="Times New Roman"/>
          <w:i/>
        </w:rPr>
        <w:t xml:space="preserve"> un moment anterior expirării concesiunii: Decretul-lege nr. 148 din 2017 a intrat în vigoare la 16 octombrie 2017, adică la aceeași dată cu publicarea în Gazzetta Ufficiale [Monitorul Oficial </w:t>
      </w:r>
      <w:proofErr w:type="gramStart"/>
      <w:r w:rsidRPr="00FE3C8D">
        <w:rPr>
          <w:rFonts w:ascii="Times New Roman" w:hAnsi="Times New Roman" w:cs="Times New Roman"/>
          <w:i/>
        </w:rPr>
        <w:t>italian</w:t>
      </w:r>
      <w:proofErr w:type="gramEnd"/>
      <w:r w:rsidRPr="00FE3C8D">
        <w:rPr>
          <w:rFonts w:ascii="Times New Roman" w:hAnsi="Times New Roman" w:cs="Times New Roman"/>
          <w:i/>
        </w:rPr>
        <w:t>], iar concesiunea urma să expire la 30 septembrie 2019;</w:t>
      </w:r>
    </w:p>
    <w:p w:rsidR="00FE3C8D" w:rsidRPr="00FE3C8D" w:rsidRDefault="00FE3C8D" w:rsidP="00FE3C8D">
      <w:pPr>
        <w:spacing w:before="120" w:after="0" w:line="276" w:lineRule="auto"/>
        <w:jc w:val="both"/>
        <w:rPr>
          <w:rFonts w:ascii="Times New Roman" w:hAnsi="Times New Roman" w:cs="Times New Roman"/>
          <w:i/>
        </w:rPr>
      </w:pPr>
      <w:r w:rsidRPr="00FE3C8D">
        <w:rPr>
          <w:rFonts w:ascii="Times New Roman" w:hAnsi="Times New Roman" w:cs="Times New Roman"/>
          <w:i/>
        </w:rPr>
        <w:t>astfel încât să se asigure venituri noi și mai mari la bugetul statului, în cuantum de 50 de milioane de euro pentru anul 2017 și de 750 de milioane de euro pentru anul 2018, modificând în acest mod anumite aspecte referitoare la modalitățile și la termenul de plată ale contraprestației pentru concesiune, precum și, potențial, la cuantumul total al plății datorate în raport cu caracterul său oneros, în special prin modificarea termenelor de plată, anticipându-le în raport cu cele prevăzute de concesiunea inițială, în considerarea – din perspectiva apelantelor – a faptului obiectiv și notoriu că timpul are o valoare financiară?</w:t>
      </w:r>
    </w:p>
    <w:p w:rsidR="00FE3C8D" w:rsidRPr="00FE3C8D" w:rsidRDefault="00FE3C8D" w:rsidP="00FE3C8D">
      <w:pPr>
        <w:spacing w:before="120" w:after="0" w:line="276" w:lineRule="auto"/>
        <w:jc w:val="both"/>
        <w:rPr>
          <w:rFonts w:ascii="Times New Roman" w:hAnsi="Times New Roman" w:cs="Times New Roman"/>
          <w:i/>
        </w:rPr>
      </w:pPr>
      <w:r w:rsidRPr="00FE3C8D">
        <w:rPr>
          <w:rFonts w:ascii="Times New Roman" w:hAnsi="Times New Roman" w:cs="Times New Roman"/>
          <w:i/>
        </w:rPr>
        <w:t xml:space="preserve">Dreptul Uniunii, în special dreptul de stabilire și de liberă prestare a serviciilor (articolul 49 și următoarele și articolul 56 și următoarele TFUE) și principiile [de drept al Uniunii Europene] privind securitatea juridică, nediscriminarea, transparența și imparțialitatea, libera concurență, proporționalitatea, încrederea legitimă și coerența, precum și – în măsura în care sunt considerate aplicabile – articolele 3 și 43 din Directiva 2014/23/UE, trebuie interpretat în sensul că se opune unei reglementări precum cea cuprinsă în actele de punere în aplicare a decretului menționat mai sus, și în special în comunicarea Agenzia delle Dogane e dei Monopoli [Agenția Vamală și a Monopolurilor] [nr.] 0133677 din 1 decembrie 2017, care, în executarea declarată a dispozițiilor articolului 20 alineatul 1 din Decretul-lege nr. 148 din 16 octombrie 2017 și în temeiul prevederilor articolului 4 primul </w:t>
      </w:r>
      <w:r w:rsidRPr="00FE3C8D">
        <w:rPr>
          <w:rFonts w:ascii="Times New Roman" w:hAnsi="Times New Roman" w:cs="Times New Roman"/>
          <w:i/>
        </w:rPr>
        <w:lastRenderedPageBreak/>
        <w:t>paragraf din contractul de concesiune pentru exploatarea jocurilor loto cu pretrageri, care prevede că aceasta poate fi prelungită o singură dată, modifică termenul final al raportului de concesiune la 30 septembrie 2028; în orice caz, fără a aduce atingere dispozițiilor aceluiași articol 4 cu privire la împărțirea duratei concesiunii în două perioade de cinci ani și, respectiv, de patru ani (astfel încât, după trecerea primei perioade de cinci ani de la data de 1 octombrie 2019, continuarea pentru o altă perioadă de patru ani, până la expirarea la 30 septembrie 2028, este condiționată de evaluarea pozitivă de către Agenzia delle Dogane e dei Monopoli [Agenția Vamală și a Monopolurilor] a desfășurării exploatării, care trebuie formulată până la 30 martie 2024); prevede că societatea efectuează plata unei sume de 50 de milioane de euro până la 15 decembrie 2017, a unei sume de 300 de milioane de euro până la 30 aprilie 2018 și a unei sume de 450 de milioane de euro până la 31 octombrie 2018;</w:t>
      </w:r>
    </w:p>
    <w:p w:rsidR="00FE3C8D" w:rsidRPr="00FE3C8D" w:rsidRDefault="00FE3C8D" w:rsidP="00FE3C8D">
      <w:pPr>
        <w:spacing w:before="120" w:after="0" w:line="276" w:lineRule="auto"/>
        <w:jc w:val="both"/>
        <w:rPr>
          <w:rFonts w:ascii="Times New Roman" w:hAnsi="Times New Roman" w:cs="Times New Roman"/>
          <w:i/>
        </w:rPr>
      </w:pPr>
      <w:proofErr w:type="gramStart"/>
      <w:r w:rsidRPr="00FE3C8D">
        <w:rPr>
          <w:rFonts w:ascii="Times New Roman" w:hAnsi="Times New Roman" w:cs="Times New Roman"/>
          <w:i/>
        </w:rPr>
        <w:t>prevăzându-se</w:t>
      </w:r>
      <w:proofErr w:type="gramEnd"/>
      <w:r w:rsidRPr="00FE3C8D">
        <w:rPr>
          <w:rFonts w:ascii="Times New Roman" w:hAnsi="Times New Roman" w:cs="Times New Roman"/>
          <w:i/>
        </w:rPr>
        <w:t xml:space="preserve"> acestea, înainte de a se fi împlinit termenul inițial de expirare a concesiunii respective (comunicarea Agenzia delle Dogane e dei Monopoli [Agenția Vamală și a Monopolurilor] [nr.] 0133677 a fost emisă la 1 decembrie 2017, iar contractul de concesiune urma să expire ulterior, la 30 septembrie 2019);</w:t>
      </w:r>
    </w:p>
    <w:p w:rsidR="00FE3C8D" w:rsidRPr="00FE3C8D" w:rsidRDefault="00FE3C8D" w:rsidP="00FE3C8D">
      <w:pPr>
        <w:spacing w:before="120" w:after="0" w:line="276" w:lineRule="auto"/>
        <w:jc w:val="both"/>
        <w:rPr>
          <w:rFonts w:ascii="Times New Roman" w:hAnsi="Times New Roman" w:cs="Times New Roman"/>
          <w:i/>
        </w:rPr>
      </w:pPr>
      <w:r w:rsidRPr="00FE3C8D">
        <w:rPr>
          <w:rFonts w:ascii="Times New Roman" w:hAnsi="Times New Roman" w:cs="Times New Roman"/>
          <w:i/>
        </w:rPr>
        <w:t>asigurând astfel […] plata anticipată a sumei de 800 de milioane de euro la termene anterioare (50 de milioane de euro până la 15 decembrie 2017, 300 de milioane de euro până la 30 aprilie 2018 și 450 de milioane de euro până la 31 octombrie 2018) datei de expirare (30 septembrie 2019);</w:t>
      </w:r>
    </w:p>
    <w:p w:rsidR="00FE3C8D" w:rsidRPr="00FE3C8D" w:rsidRDefault="00FE3C8D" w:rsidP="00FE3C8D">
      <w:pPr>
        <w:spacing w:before="120" w:after="0" w:line="276" w:lineRule="auto"/>
        <w:jc w:val="both"/>
        <w:rPr>
          <w:rFonts w:ascii="Times New Roman" w:hAnsi="Times New Roman" w:cs="Times New Roman"/>
          <w:i/>
        </w:rPr>
      </w:pPr>
      <w:proofErr w:type="gramStart"/>
      <w:r w:rsidRPr="00FE3C8D">
        <w:rPr>
          <w:rFonts w:ascii="Times New Roman" w:hAnsi="Times New Roman" w:cs="Times New Roman"/>
          <w:i/>
        </w:rPr>
        <w:t>determinând</w:t>
      </w:r>
      <w:proofErr w:type="gramEnd"/>
      <w:r w:rsidRPr="00FE3C8D">
        <w:rPr>
          <w:rFonts w:ascii="Times New Roman" w:hAnsi="Times New Roman" w:cs="Times New Roman"/>
          <w:i/>
        </w:rPr>
        <w:t xml:space="preserve"> astfel […] modificarea potențială a cuantumului total al plății datorate în raport cu caracterul său oneros, în considerarea – din perspectiva apelantelor – a faptului obiectiv și notoriu că timpul are o valoare financiară?</w:t>
      </w:r>
    </w:p>
    <w:p w:rsidR="00457A30" w:rsidRPr="00C165D4" w:rsidRDefault="00FE3C8D" w:rsidP="00FE3C8D">
      <w:pPr>
        <w:spacing w:before="120" w:after="0" w:line="276" w:lineRule="auto"/>
        <w:jc w:val="both"/>
        <w:rPr>
          <w:rFonts w:ascii="Times New Roman" w:hAnsi="Times New Roman" w:cs="Times New Roman"/>
          <w:i/>
        </w:rPr>
      </w:pPr>
      <w:r w:rsidRPr="00FE3C8D">
        <w:rPr>
          <w:rFonts w:ascii="Times New Roman" w:hAnsi="Times New Roman" w:cs="Times New Roman"/>
          <w:i/>
        </w:rPr>
        <w:t>Dreptul Uniunii, în special dreptul de stabilire și de liberă prestare a serviciilor (articolul 49 și următoarele și articolul 56 și următoarele TFUE) și principiile [de drept al Uniunii Europene] privind securitatea juridică, nediscriminarea, transparența și imparțialitatea, libera concurență, proporționalitatea, încrederea legitimă și coerența, precum și – în măsura în care sunt considerate aplicabile – articolele 3 și 43 din Directiva 2014/23/UE, trebuie interpretat în sensul că se opune unei astfel de reglementări și în ipoteza în care operatorii din domeniul în discuție interesați în prezent să intre pe piață […] nu au participat la procedura de cerere de ofertă organizată inițial pentru atribuirea concesiunii care expira și care a fost continuată cu concesionarul a cărui autorizație urma să expire, în noile condiții contractuale descrise, sau […] eventuala limitare a accesului pe piață […] se produce numai în ipoteza participării efective a acestora la procedura de cerere de ofertă inițială?</w:t>
      </w:r>
      <w:r w:rsidR="001F28A9" w:rsidRPr="00C165D4">
        <w:rPr>
          <w:rFonts w:ascii="Times New Roman" w:hAnsi="Times New Roman" w:cs="Times New Roman"/>
          <w:i/>
        </w:rPr>
        <w:t>”</w:t>
      </w:r>
    </w:p>
    <w:p w:rsidR="00457A30" w:rsidRPr="005C3D22" w:rsidRDefault="005C3D22" w:rsidP="00C345E5">
      <w:pPr>
        <w:spacing w:before="120" w:after="120" w:line="276" w:lineRule="auto"/>
        <w:jc w:val="both"/>
        <w:rPr>
          <w:rFonts w:ascii="Times New Roman" w:hAnsi="Times New Roman" w:cs="Times New Roman"/>
          <w:b/>
          <w:lang w:val="ro-RO"/>
        </w:rPr>
      </w:pPr>
      <w:r w:rsidRPr="005C3D22">
        <w:rPr>
          <w:rFonts w:ascii="Times New Roman" w:hAnsi="Times New Roman" w:cs="Times New Roman"/>
          <w:b/>
          <w:lang w:val="ro-RO"/>
        </w:rPr>
        <w:t xml:space="preserve">Soluție: </w:t>
      </w:r>
    </w:p>
    <w:p w:rsidR="000563F8" w:rsidRPr="000563F8" w:rsidRDefault="006B69ED" w:rsidP="00902215">
      <w:pPr>
        <w:pStyle w:val="c08dispositif"/>
        <w:spacing w:before="120" w:beforeAutospacing="0" w:after="120" w:afterAutospacing="0"/>
        <w:jc w:val="both"/>
        <w:rPr>
          <w:rFonts w:eastAsiaTheme="minorHAnsi"/>
          <w:b/>
          <w:i/>
          <w:sz w:val="22"/>
          <w:szCs w:val="22"/>
        </w:rPr>
      </w:pPr>
      <w:r>
        <w:t>„</w:t>
      </w:r>
      <w:r w:rsidR="000563F8">
        <w:rPr>
          <w:rFonts w:ascii="Arial" w:hAnsi="Arial" w:cs="Arial"/>
          <w:b/>
          <w:bCs/>
          <w:color w:val="000000"/>
          <w:sz w:val="18"/>
          <w:szCs w:val="18"/>
        </w:rPr>
        <w:t>1)     </w:t>
      </w:r>
      <w:r w:rsidR="000563F8" w:rsidRPr="000563F8">
        <w:rPr>
          <w:rFonts w:eastAsiaTheme="minorHAnsi"/>
          <w:b/>
          <w:i/>
          <w:sz w:val="22"/>
          <w:szCs w:val="22"/>
        </w:rPr>
        <w:t>Dreptul Uniunii și în special articolul 43 alineatul (1) litera (a) din Directiva 2014/23/UE a Parlamentului European și a Consiliului din 26 februarie 2014 privind atribuirea contractelor de concesiune trebuie interpretat în sensul că nu se opune unei reglementări naționale care impune reînnoirea unui contract de concesiune fără o nouă procedură de atribuire, în condițiile în care acesta a fost atribuit unui singur concesionar, deși dreptul național aplicabil prevedea că o asemenea concesiune trebuia să fie atribuită, în principiu, mai multor operatori economici, cel mult patru, atunci când această reglementare națională constituie punerea în aplicare a unei clauze conținute în contractul de concesiune inițial care prevede opțiunea unei astfel de reînnoiri.</w:t>
      </w:r>
    </w:p>
    <w:p w:rsidR="000563F8" w:rsidRPr="000563F8" w:rsidRDefault="000563F8" w:rsidP="00902215">
      <w:pPr>
        <w:pStyle w:val="c08dispositif"/>
        <w:spacing w:before="120" w:beforeAutospacing="0" w:after="120" w:afterAutospacing="0"/>
        <w:jc w:val="both"/>
        <w:rPr>
          <w:rFonts w:eastAsiaTheme="minorHAnsi"/>
          <w:b/>
          <w:i/>
          <w:sz w:val="22"/>
          <w:szCs w:val="22"/>
        </w:rPr>
      </w:pPr>
      <w:r w:rsidRPr="000563F8">
        <w:rPr>
          <w:rFonts w:eastAsiaTheme="minorHAnsi"/>
          <w:b/>
          <w:i/>
          <w:sz w:val="22"/>
          <w:szCs w:val="22"/>
        </w:rPr>
        <w:t>2)      Dreptul Uniunii și în special articolul 43 alineatul (1) litera (e) din Directiva 2014/23 trebuie interpretat în sensul că nu se opune unei reglementă</w:t>
      </w:r>
      <w:bookmarkStart w:id="0" w:name="_GoBack"/>
      <w:bookmarkEnd w:id="0"/>
      <w:r w:rsidRPr="000563F8">
        <w:rPr>
          <w:rFonts w:eastAsiaTheme="minorHAnsi"/>
          <w:b/>
          <w:i/>
          <w:sz w:val="22"/>
          <w:szCs w:val="22"/>
        </w:rPr>
        <w:t>ri naționale care prevede, pe de o parte, că reînnoirea unei concesiuni va fi decisă cu doi ani înainte de încetarea sa și, pe de altă parte, o modificare a modalităților de plată a contraprestației financiare datorate de concesionar, astfel încât să se asigure venituri noi și mai mari la bugetul statului, atunci când această modificare nu este substanțială în sensul articolului 43 alineatul (4) din directiva menționată.</w:t>
      </w:r>
    </w:p>
    <w:p w:rsidR="000563F8" w:rsidRPr="000563F8" w:rsidRDefault="000563F8" w:rsidP="00902215">
      <w:pPr>
        <w:pStyle w:val="c08dispositif"/>
        <w:spacing w:before="120" w:beforeAutospacing="0" w:after="120" w:afterAutospacing="0"/>
        <w:jc w:val="both"/>
        <w:rPr>
          <w:rFonts w:eastAsiaTheme="minorHAnsi"/>
          <w:b/>
          <w:i/>
          <w:sz w:val="22"/>
          <w:szCs w:val="22"/>
        </w:rPr>
      </w:pPr>
      <w:r w:rsidRPr="000563F8">
        <w:rPr>
          <w:rFonts w:eastAsiaTheme="minorHAnsi"/>
          <w:b/>
          <w:i/>
          <w:sz w:val="22"/>
          <w:szCs w:val="22"/>
        </w:rPr>
        <w:t xml:space="preserve">3)      Articolul 43 alineatul (4) din Directiva 2014/23 și articolul 1 alineatul (3) din Directiva 89/665/CEE a Consiliului din 21 decembrie 1989 privind coordonarea actelor cu putere de lege și a actelor administrative privind aplicarea procedurilor care vizează căile de atac față de atribuirea contractelor de achiziții publice de produse și a contractelor publice de lucrări, astfel cum a fost modificată prin Directiva 2014/23, trebuie interpretate în sensul că un operator economic poate introduce o cale de atac împotriva unei decizii de reînnoire a unei concesiuni </w:t>
      </w:r>
      <w:r w:rsidRPr="000563F8">
        <w:rPr>
          <w:rFonts w:eastAsiaTheme="minorHAnsi"/>
          <w:b/>
          <w:i/>
          <w:sz w:val="22"/>
          <w:szCs w:val="22"/>
        </w:rPr>
        <w:lastRenderedPageBreak/>
        <w:t>pentru motivul că condițiile de executare a contractului de concesiune inițial au fost modificate substanțial, deși nu a participat la procedura inițială de atribuire a acestei concesiuni, dacă, în momentul în care ar trebui să intervină reînnoirea concesiunii, acesta face dovada unui interes de a i se atribui o astfel de concesiune.</w:t>
      </w:r>
      <w:r>
        <w:rPr>
          <w:rFonts w:eastAsiaTheme="minorHAnsi"/>
          <w:b/>
          <w:i/>
          <w:sz w:val="22"/>
          <w:szCs w:val="22"/>
        </w:rPr>
        <w:t>”</w:t>
      </w:r>
    </w:p>
    <w:p w:rsidR="0077192E" w:rsidRDefault="0077192E" w:rsidP="000563F8">
      <w:pPr>
        <w:spacing w:before="120" w:after="120" w:line="276" w:lineRule="auto"/>
        <w:jc w:val="both"/>
        <w:rPr>
          <w:rFonts w:ascii="Times New Roman" w:hAnsi="Times New Roman" w:cs="Times New Roman"/>
          <w:b/>
          <w:lang w:val="ro-RO"/>
        </w:rPr>
      </w:pPr>
    </w:p>
    <w:sectPr w:rsidR="0077192E" w:rsidSect="00C962C1">
      <w:footerReference w:type="default" r:id="rId8"/>
      <w:pgSz w:w="12240" w:h="15840"/>
      <w:pgMar w:top="851" w:right="900" w:bottom="426"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0786" w:rsidRDefault="00870786" w:rsidP="004F21C1">
      <w:pPr>
        <w:spacing w:after="0" w:line="240" w:lineRule="auto"/>
      </w:pPr>
      <w:r>
        <w:separator/>
      </w:r>
    </w:p>
  </w:endnote>
  <w:endnote w:type="continuationSeparator" w:id="0">
    <w:p w:rsidR="00870786" w:rsidRDefault="00870786" w:rsidP="004F2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0781915"/>
      <w:docPartObj>
        <w:docPartGallery w:val="Page Numbers (Bottom of Page)"/>
        <w:docPartUnique/>
      </w:docPartObj>
    </w:sdtPr>
    <w:sdtEndPr>
      <w:rPr>
        <w:noProof/>
      </w:rPr>
    </w:sdtEndPr>
    <w:sdtContent>
      <w:p w:rsidR="004F21C1" w:rsidRDefault="004F21C1">
        <w:pPr>
          <w:pStyle w:val="Footer"/>
          <w:jc w:val="right"/>
        </w:pPr>
        <w:r>
          <w:fldChar w:fldCharType="begin"/>
        </w:r>
        <w:r>
          <w:instrText xml:space="preserve"> PAGE   \* MERGEFORMAT </w:instrText>
        </w:r>
        <w:r>
          <w:fldChar w:fldCharType="separate"/>
        </w:r>
        <w:r w:rsidR="00902215">
          <w:rPr>
            <w:noProof/>
          </w:rPr>
          <w:t>4</w:t>
        </w:r>
        <w:r>
          <w:rPr>
            <w:noProof/>
          </w:rPr>
          <w:fldChar w:fldCharType="end"/>
        </w:r>
      </w:p>
    </w:sdtContent>
  </w:sdt>
  <w:p w:rsidR="004F21C1" w:rsidRDefault="004F21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0786" w:rsidRDefault="00870786" w:rsidP="004F21C1">
      <w:pPr>
        <w:spacing w:after="0" w:line="240" w:lineRule="auto"/>
      </w:pPr>
      <w:r>
        <w:separator/>
      </w:r>
    </w:p>
  </w:footnote>
  <w:footnote w:type="continuationSeparator" w:id="0">
    <w:p w:rsidR="00870786" w:rsidRDefault="00870786" w:rsidP="004F21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01378C"/>
    <w:multiLevelType w:val="hybridMultilevel"/>
    <w:tmpl w:val="CE2880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1C7CAE"/>
    <w:multiLevelType w:val="multilevel"/>
    <w:tmpl w:val="CD1EA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007148C"/>
    <w:multiLevelType w:val="hybridMultilevel"/>
    <w:tmpl w:val="4B383710"/>
    <w:lvl w:ilvl="0" w:tplc="D2BE78DC">
      <w:start w:val="1"/>
      <w:numFmt w:val="decimal"/>
      <w:lvlText w:val="%1)"/>
      <w:lvlJc w:val="left"/>
      <w:pPr>
        <w:ind w:left="720" w:hanging="360"/>
      </w:pPr>
      <w:rPr>
        <w:rFonts w:ascii="Verdana" w:eastAsiaTheme="minorHAnsi" w:hAnsi="Verdana"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904446"/>
    <w:multiLevelType w:val="hybridMultilevel"/>
    <w:tmpl w:val="5C44236A"/>
    <w:lvl w:ilvl="0" w:tplc="78E42630">
      <w:start w:val="1"/>
      <w:numFmt w:val="decimal"/>
      <w:lvlText w:val="%1)"/>
      <w:lvlJc w:val="left"/>
      <w:pPr>
        <w:ind w:left="720" w:hanging="360"/>
      </w:pPr>
      <w:rPr>
        <w:rFonts w:asciiTheme="minorHAnsi" w:hAnsiTheme="minorHAns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764727"/>
    <w:multiLevelType w:val="hybridMultilevel"/>
    <w:tmpl w:val="6F5450DC"/>
    <w:lvl w:ilvl="0" w:tplc="133ADA12">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88D"/>
    <w:rsid w:val="00033CED"/>
    <w:rsid w:val="00046D17"/>
    <w:rsid w:val="00047E32"/>
    <w:rsid w:val="000563F8"/>
    <w:rsid w:val="00056BEC"/>
    <w:rsid w:val="00057BF1"/>
    <w:rsid w:val="000871CE"/>
    <w:rsid w:val="00090597"/>
    <w:rsid w:val="000B18CC"/>
    <w:rsid w:val="000B41C9"/>
    <w:rsid w:val="000B6600"/>
    <w:rsid w:val="000E3E80"/>
    <w:rsid w:val="000F6780"/>
    <w:rsid w:val="000F68A0"/>
    <w:rsid w:val="001034E5"/>
    <w:rsid w:val="00103E93"/>
    <w:rsid w:val="00105A7C"/>
    <w:rsid w:val="00110627"/>
    <w:rsid w:val="0011603F"/>
    <w:rsid w:val="00117D0B"/>
    <w:rsid w:val="00134A15"/>
    <w:rsid w:val="001374F9"/>
    <w:rsid w:val="00144B4B"/>
    <w:rsid w:val="0017026E"/>
    <w:rsid w:val="001733A1"/>
    <w:rsid w:val="00173889"/>
    <w:rsid w:val="0019474F"/>
    <w:rsid w:val="00195D9A"/>
    <w:rsid w:val="001D0DD4"/>
    <w:rsid w:val="001D6B0F"/>
    <w:rsid w:val="001F28A9"/>
    <w:rsid w:val="001F68B1"/>
    <w:rsid w:val="00211DA9"/>
    <w:rsid w:val="002263AA"/>
    <w:rsid w:val="00235398"/>
    <w:rsid w:val="00237DA0"/>
    <w:rsid w:val="00240A2E"/>
    <w:rsid w:val="00254B13"/>
    <w:rsid w:val="00255F2E"/>
    <w:rsid w:val="00262E38"/>
    <w:rsid w:val="00266C51"/>
    <w:rsid w:val="00291728"/>
    <w:rsid w:val="002955E2"/>
    <w:rsid w:val="002A043E"/>
    <w:rsid w:val="002A4BD1"/>
    <w:rsid w:val="002B29AE"/>
    <w:rsid w:val="002B4E9B"/>
    <w:rsid w:val="002C438C"/>
    <w:rsid w:val="002D441E"/>
    <w:rsid w:val="003012C9"/>
    <w:rsid w:val="003023CF"/>
    <w:rsid w:val="0030692D"/>
    <w:rsid w:val="00322093"/>
    <w:rsid w:val="00325F0A"/>
    <w:rsid w:val="00340CE2"/>
    <w:rsid w:val="0035231A"/>
    <w:rsid w:val="00375B7D"/>
    <w:rsid w:val="003A30AB"/>
    <w:rsid w:val="003A5763"/>
    <w:rsid w:val="003C0EC1"/>
    <w:rsid w:val="003C2F78"/>
    <w:rsid w:val="003D4732"/>
    <w:rsid w:val="003E34C0"/>
    <w:rsid w:val="00401860"/>
    <w:rsid w:val="004111FC"/>
    <w:rsid w:val="004113B0"/>
    <w:rsid w:val="00413332"/>
    <w:rsid w:val="00436121"/>
    <w:rsid w:val="004370B2"/>
    <w:rsid w:val="00447C8E"/>
    <w:rsid w:val="0045128B"/>
    <w:rsid w:val="00457A30"/>
    <w:rsid w:val="0046012B"/>
    <w:rsid w:val="004611B3"/>
    <w:rsid w:val="004643CC"/>
    <w:rsid w:val="004668DB"/>
    <w:rsid w:val="004724B3"/>
    <w:rsid w:val="00490EDC"/>
    <w:rsid w:val="004951D2"/>
    <w:rsid w:val="004A0E05"/>
    <w:rsid w:val="004A57F2"/>
    <w:rsid w:val="004B04E8"/>
    <w:rsid w:val="004B1C2D"/>
    <w:rsid w:val="004B34B2"/>
    <w:rsid w:val="004C388A"/>
    <w:rsid w:val="004C681C"/>
    <w:rsid w:val="004F21C1"/>
    <w:rsid w:val="00502C68"/>
    <w:rsid w:val="00513FCC"/>
    <w:rsid w:val="0051524F"/>
    <w:rsid w:val="00530DD9"/>
    <w:rsid w:val="005409DE"/>
    <w:rsid w:val="00543C22"/>
    <w:rsid w:val="005528C1"/>
    <w:rsid w:val="00556C8B"/>
    <w:rsid w:val="00560116"/>
    <w:rsid w:val="005620F8"/>
    <w:rsid w:val="0056210B"/>
    <w:rsid w:val="00565876"/>
    <w:rsid w:val="00567A53"/>
    <w:rsid w:val="005756DC"/>
    <w:rsid w:val="00581A19"/>
    <w:rsid w:val="005945A4"/>
    <w:rsid w:val="00596F27"/>
    <w:rsid w:val="005A0E24"/>
    <w:rsid w:val="005A40E9"/>
    <w:rsid w:val="005B4505"/>
    <w:rsid w:val="005C3D22"/>
    <w:rsid w:val="005D37C4"/>
    <w:rsid w:val="005F4B71"/>
    <w:rsid w:val="005F4F72"/>
    <w:rsid w:val="00602820"/>
    <w:rsid w:val="0062377B"/>
    <w:rsid w:val="00624C6A"/>
    <w:rsid w:val="006348AC"/>
    <w:rsid w:val="00643D07"/>
    <w:rsid w:val="00644A32"/>
    <w:rsid w:val="00644AAA"/>
    <w:rsid w:val="00647E49"/>
    <w:rsid w:val="006513FA"/>
    <w:rsid w:val="00651CE9"/>
    <w:rsid w:val="00652B39"/>
    <w:rsid w:val="0065365B"/>
    <w:rsid w:val="00666313"/>
    <w:rsid w:val="006734D7"/>
    <w:rsid w:val="006754CE"/>
    <w:rsid w:val="006A0EC0"/>
    <w:rsid w:val="006A4DA7"/>
    <w:rsid w:val="006A6A1D"/>
    <w:rsid w:val="006B31B9"/>
    <w:rsid w:val="006B69ED"/>
    <w:rsid w:val="006B6EC3"/>
    <w:rsid w:val="006C0819"/>
    <w:rsid w:val="006F1E30"/>
    <w:rsid w:val="00722CE2"/>
    <w:rsid w:val="00737D39"/>
    <w:rsid w:val="00751707"/>
    <w:rsid w:val="0075300B"/>
    <w:rsid w:val="00763F85"/>
    <w:rsid w:val="0077192E"/>
    <w:rsid w:val="00773B31"/>
    <w:rsid w:val="00781285"/>
    <w:rsid w:val="00783B28"/>
    <w:rsid w:val="00794A33"/>
    <w:rsid w:val="007C3939"/>
    <w:rsid w:val="007C662E"/>
    <w:rsid w:val="007D00C0"/>
    <w:rsid w:val="007D288D"/>
    <w:rsid w:val="007E67E9"/>
    <w:rsid w:val="007E7C01"/>
    <w:rsid w:val="007F1DEE"/>
    <w:rsid w:val="007F43D1"/>
    <w:rsid w:val="007F6412"/>
    <w:rsid w:val="008108BA"/>
    <w:rsid w:val="0084575C"/>
    <w:rsid w:val="00851DA6"/>
    <w:rsid w:val="00870786"/>
    <w:rsid w:val="00886DBB"/>
    <w:rsid w:val="00897C14"/>
    <w:rsid w:val="008B1257"/>
    <w:rsid w:val="008D07B2"/>
    <w:rsid w:val="008D0D42"/>
    <w:rsid w:val="008D1DA0"/>
    <w:rsid w:val="008D247A"/>
    <w:rsid w:val="008E272B"/>
    <w:rsid w:val="008E4431"/>
    <w:rsid w:val="008E6301"/>
    <w:rsid w:val="008E6B08"/>
    <w:rsid w:val="00902215"/>
    <w:rsid w:val="00913920"/>
    <w:rsid w:val="00914F9C"/>
    <w:rsid w:val="009215C2"/>
    <w:rsid w:val="00926E36"/>
    <w:rsid w:val="00931470"/>
    <w:rsid w:val="009360F4"/>
    <w:rsid w:val="00940A5C"/>
    <w:rsid w:val="00946AE2"/>
    <w:rsid w:val="009736A4"/>
    <w:rsid w:val="0097561C"/>
    <w:rsid w:val="009923EA"/>
    <w:rsid w:val="00993DC5"/>
    <w:rsid w:val="009A7338"/>
    <w:rsid w:val="009B0F02"/>
    <w:rsid w:val="009C229A"/>
    <w:rsid w:val="009D56A5"/>
    <w:rsid w:val="009D7431"/>
    <w:rsid w:val="009E1B39"/>
    <w:rsid w:val="009F20B7"/>
    <w:rsid w:val="009F2EAF"/>
    <w:rsid w:val="00A019DE"/>
    <w:rsid w:val="00A01D77"/>
    <w:rsid w:val="00A209C0"/>
    <w:rsid w:val="00A2348E"/>
    <w:rsid w:val="00A31597"/>
    <w:rsid w:val="00A315A7"/>
    <w:rsid w:val="00A40D4B"/>
    <w:rsid w:val="00A5491A"/>
    <w:rsid w:val="00A55ADE"/>
    <w:rsid w:val="00A57CED"/>
    <w:rsid w:val="00A63E0E"/>
    <w:rsid w:val="00A6737B"/>
    <w:rsid w:val="00A70E0D"/>
    <w:rsid w:val="00A74AAB"/>
    <w:rsid w:val="00A76389"/>
    <w:rsid w:val="00A82712"/>
    <w:rsid w:val="00A8744D"/>
    <w:rsid w:val="00AA4301"/>
    <w:rsid w:val="00AA68C6"/>
    <w:rsid w:val="00AC5729"/>
    <w:rsid w:val="00AD0393"/>
    <w:rsid w:val="00AD0637"/>
    <w:rsid w:val="00AE342B"/>
    <w:rsid w:val="00B26C0F"/>
    <w:rsid w:val="00B360DB"/>
    <w:rsid w:val="00B5448C"/>
    <w:rsid w:val="00B8108B"/>
    <w:rsid w:val="00B8138B"/>
    <w:rsid w:val="00B831A5"/>
    <w:rsid w:val="00B85E99"/>
    <w:rsid w:val="00B90EEC"/>
    <w:rsid w:val="00BA1415"/>
    <w:rsid w:val="00BA41C7"/>
    <w:rsid w:val="00BA7EC7"/>
    <w:rsid w:val="00BC23D4"/>
    <w:rsid w:val="00BC316D"/>
    <w:rsid w:val="00BC72F7"/>
    <w:rsid w:val="00BD42FB"/>
    <w:rsid w:val="00BD764A"/>
    <w:rsid w:val="00BF70B0"/>
    <w:rsid w:val="00C02350"/>
    <w:rsid w:val="00C038B2"/>
    <w:rsid w:val="00C125A4"/>
    <w:rsid w:val="00C165D4"/>
    <w:rsid w:val="00C20FAF"/>
    <w:rsid w:val="00C345E5"/>
    <w:rsid w:val="00C35D1B"/>
    <w:rsid w:val="00C36988"/>
    <w:rsid w:val="00C4211E"/>
    <w:rsid w:val="00C43880"/>
    <w:rsid w:val="00C56939"/>
    <w:rsid w:val="00C573B8"/>
    <w:rsid w:val="00C7513E"/>
    <w:rsid w:val="00C83771"/>
    <w:rsid w:val="00C85A21"/>
    <w:rsid w:val="00C90DEC"/>
    <w:rsid w:val="00C91BFB"/>
    <w:rsid w:val="00C962C1"/>
    <w:rsid w:val="00CA2913"/>
    <w:rsid w:val="00CC4D4A"/>
    <w:rsid w:val="00CD438A"/>
    <w:rsid w:val="00CE78F8"/>
    <w:rsid w:val="00CE7D4B"/>
    <w:rsid w:val="00CF298F"/>
    <w:rsid w:val="00CF2B3D"/>
    <w:rsid w:val="00CF5182"/>
    <w:rsid w:val="00CF7EA6"/>
    <w:rsid w:val="00D15723"/>
    <w:rsid w:val="00D31CAB"/>
    <w:rsid w:val="00D338B7"/>
    <w:rsid w:val="00D36C29"/>
    <w:rsid w:val="00D556A4"/>
    <w:rsid w:val="00D57134"/>
    <w:rsid w:val="00D75918"/>
    <w:rsid w:val="00D75A43"/>
    <w:rsid w:val="00D9434A"/>
    <w:rsid w:val="00DA00E6"/>
    <w:rsid w:val="00DA4D37"/>
    <w:rsid w:val="00DB0C11"/>
    <w:rsid w:val="00DC022B"/>
    <w:rsid w:val="00DE08FC"/>
    <w:rsid w:val="00DF5965"/>
    <w:rsid w:val="00E005BC"/>
    <w:rsid w:val="00E10D74"/>
    <w:rsid w:val="00E10EF5"/>
    <w:rsid w:val="00E31FEC"/>
    <w:rsid w:val="00E4139E"/>
    <w:rsid w:val="00E420B1"/>
    <w:rsid w:val="00E479F0"/>
    <w:rsid w:val="00E602C4"/>
    <w:rsid w:val="00E66AD3"/>
    <w:rsid w:val="00E6780D"/>
    <w:rsid w:val="00E67A07"/>
    <w:rsid w:val="00E67AF6"/>
    <w:rsid w:val="00E7380E"/>
    <w:rsid w:val="00E77504"/>
    <w:rsid w:val="00E80CAA"/>
    <w:rsid w:val="00E920CA"/>
    <w:rsid w:val="00EA2D64"/>
    <w:rsid w:val="00EC36E4"/>
    <w:rsid w:val="00ED6CFD"/>
    <w:rsid w:val="00EE5F8B"/>
    <w:rsid w:val="00EE67A8"/>
    <w:rsid w:val="00F0057D"/>
    <w:rsid w:val="00F16D18"/>
    <w:rsid w:val="00F24CB3"/>
    <w:rsid w:val="00F3045E"/>
    <w:rsid w:val="00F3081C"/>
    <w:rsid w:val="00F340D0"/>
    <w:rsid w:val="00F42658"/>
    <w:rsid w:val="00F4697F"/>
    <w:rsid w:val="00F478F9"/>
    <w:rsid w:val="00F644A2"/>
    <w:rsid w:val="00F7404B"/>
    <w:rsid w:val="00F85D12"/>
    <w:rsid w:val="00FB279E"/>
    <w:rsid w:val="00FB42ED"/>
    <w:rsid w:val="00FC5DA6"/>
    <w:rsid w:val="00FD039E"/>
    <w:rsid w:val="00FE3C8D"/>
    <w:rsid w:val="00FE7CFE"/>
    <w:rsid w:val="00FF3227"/>
    <w:rsid w:val="00FF6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EBCF70-B907-49B1-B759-AC4D71DF6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6BE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56BEC"/>
    <w:rPr>
      <w:color w:val="0000FF"/>
      <w:u w:val="single"/>
    </w:rPr>
  </w:style>
  <w:style w:type="paragraph" w:customStyle="1" w:styleId="c08dispositif">
    <w:name w:val="c08dispositif"/>
    <w:basedOn w:val="Normal"/>
    <w:rsid w:val="0029172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91728"/>
    <w:pPr>
      <w:ind w:left="720"/>
      <w:contextualSpacing/>
    </w:pPr>
  </w:style>
  <w:style w:type="paragraph" w:customStyle="1" w:styleId="c01pointnumerotealtn">
    <w:name w:val="c01pointnumerotealtn"/>
    <w:basedOn w:val="Normal"/>
    <w:rsid w:val="0019474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F1E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E30"/>
    <w:rPr>
      <w:rFonts w:ascii="Segoe UI" w:hAnsi="Segoe UI" w:cs="Segoe UI"/>
      <w:sz w:val="18"/>
      <w:szCs w:val="18"/>
    </w:rPr>
  </w:style>
  <w:style w:type="paragraph" w:styleId="Header">
    <w:name w:val="header"/>
    <w:basedOn w:val="Normal"/>
    <w:link w:val="HeaderChar"/>
    <w:uiPriority w:val="99"/>
    <w:unhideWhenUsed/>
    <w:rsid w:val="004F21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21C1"/>
  </w:style>
  <w:style w:type="paragraph" w:styleId="Footer">
    <w:name w:val="footer"/>
    <w:basedOn w:val="Normal"/>
    <w:link w:val="FooterChar"/>
    <w:uiPriority w:val="99"/>
    <w:unhideWhenUsed/>
    <w:rsid w:val="004F21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1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33567">
      <w:bodyDiv w:val="1"/>
      <w:marLeft w:val="0"/>
      <w:marRight w:val="0"/>
      <w:marTop w:val="0"/>
      <w:marBottom w:val="0"/>
      <w:divBdr>
        <w:top w:val="none" w:sz="0" w:space="0" w:color="auto"/>
        <w:left w:val="none" w:sz="0" w:space="0" w:color="auto"/>
        <w:bottom w:val="none" w:sz="0" w:space="0" w:color="auto"/>
        <w:right w:val="none" w:sz="0" w:space="0" w:color="auto"/>
      </w:divBdr>
    </w:div>
    <w:div w:id="557087044">
      <w:bodyDiv w:val="1"/>
      <w:marLeft w:val="0"/>
      <w:marRight w:val="0"/>
      <w:marTop w:val="0"/>
      <w:marBottom w:val="0"/>
      <w:divBdr>
        <w:top w:val="none" w:sz="0" w:space="0" w:color="auto"/>
        <w:left w:val="none" w:sz="0" w:space="0" w:color="auto"/>
        <w:bottom w:val="none" w:sz="0" w:space="0" w:color="auto"/>
        <w:right w:val="none" w:sz="0" w:space="0" w:color="auto"/>
      </w:divBdr>
    </w:div>
    <w:div w:id="765075664">
      <w:bodyDiv w:val="1"/>
      <w:marLeft w:val="0"/>
      <w:marRight w:val="0"/>
      <w:marTop w:val="0"/>
      <w:marBottom w:val="0"/>
      <w:divBdr>
        <w:top w:val="none" w:sz="0" w:space="0" w:color="auto"/>
        <w:left w:val="none" w:sz="0" w:space="0" w:color="auto"/>
        <w:bottom w:val="none" w:sz="0" w:space="0" w:color="auto"/>
        <w:right w:val="none" w:sz="0" w:space="0" w:color="auto"/>
      </w:divBdr>
    </w:div>
    <w:div w:id="1152984675">
      <w:bodyDiv w:val="1"/>
      <w:marLeft w:val="0"/>
      <w:marRight w:val="0"/>
      <w:marTop w:val="0"/>
      <w:marBottom w:val="0"/>
      <w:divBdr>
        <w:top w:val="none" w:sz="0" w:space="0" w:color="auto"/>
        <w:left w:val="none" w:sz="0" w:space="0" w:color="auto"/>
        <w:bottom w:val="none" w:sz="0" w:space="0" w:color="auto"/>
        <w:right w:val="none" w:sz="0" w:space="0" w:color="auto"/>
      </w:divBdr>
    </w:div>
    <w:div w:id="1683434094">
      <w:bodyDiv w:val="1"/>
      <w:marLeft w:val="0"/>
      <w:marRight w:val="0"/>
      <w:marTop w:val="0"/>
      <w:marBottom w:val="0"/>
      <w:divBdr>
        <w:top w:val="none" w:sz="0" w:space="0" w:color="auto"/>
        <w:left w:val="none" w:sz="0" w:space="0" w:color="auto"/>
        <w:bottom w:val="none" w:sz="0" w:space="0" w:color="auto"/>
        <w:right w:val="none" w:sz="0" w:space="0" w:color="auto"/>
      </w:divBdr>
    </w:div>
    <w:div w:id="208753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uria.europa.eu/juris/document/document.jsf?text=&amp;docid=221920&amp;pageIndex=0&amp;doclang=RO&amp;mode=lst&amp;dir=&amp;occ=first&amp;part=1&amp;cid=62356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811</TotalTime>
  <Pages>4</Pages>
  <Words>1962</Words>
  <Characters>11187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Negrila</dc:creator>
  <cp:keywords/>
  <dc:description/>
  <cp:lastModifiedBy>Anda Negrila</cp:lastModifiedBy>
  <cp:revision>268</cp:revision>
  <cp:lastPrinted>2018-10-19T07:22:00Z</cp:lastPrinted>
  <dcterms:created xsi:type="dcterms:W3CDTF">2018-10-19T06:05:00Z</dcterms:created>
  <dcterms:modified xsi:type="dcterms:W3CDTF">2021-09-13T09:36:00Z</dcterms:modified>
</cp:coreProperties>
</file>