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3657E" w14:textId="77777777" w:rsidR="002C4E7D" w:rsidRPr="004B1F69" w:rsidRDefault="002C4E7D" w:rsidP="008E3DBC">
      <w:pPr>
        <w:spacing w:before="960"/>
        <w:ind w:left="0"/>
        <w:rPr>
          <w:rFonts w:cs="Arial"/>
        </w:rPr>
      </w:pPr>
    </w:p>
    <w:p w14:paraId="287971DC" w14:textId="77777777" w:rsidR="00A36256" w:rsidRPr="004B1F69" w:rsidRDefault="005F32AF" w:rsidP="008E3DBC">
      <w:pPr>
        <w:spacing w:before="960"/>
        <w:ind w:left="0"/>
        <w:jc w:val="center"/>
        <w:rPr>
          <w:rFonts w:cs="Arial"/>
          <w:b/>
          <w:lang w:val="ro-RO"/>
        </w:rPr>
      </w:pPr>
      <w:r w:rsidRPr="004B1F69">
        <w:rPr>
          <w:rFonts w:cs="Arial"/>
          <w:b/>
          <w:lang w:val="ro-RO"/>
        </w:rPr>
        <w:t>NOT</w:t>
      </w:r>
      <w:r w:rsidR="00F67416" w:rsidRPr="004B1F69">
        <w:rPr>
          <w:rFonts w:cs="Arial"/>
          <w:b/>
          <w:lang w:val="ro-RO"/>
        </w:rPr>
        <w:t xml:space="preserve">IFICARE </w:t>
      </w:r>
    </w:p>
    <w:p w14:paraId="502D81EF" w14:textId="77777777" w:rsidR="007C0043" w:rsidRDefault="00F67416" w:rsidP="0089637C">
      <w:pPr>
        <w:ind w:left="0"/>
        <w:rPr>
          <w:rFonts w:eastAsia="Times New Roman" w:cs="Calibri"/>
          <w:b/>
          <w:noProof/>
          <w:snapToGrid w:val="0"/>
          <w:lang w:val="ro-RO"/>
        </w:rPr>
      </w:pPr>
      <w:bookmarkStart w:id="0" w:name="_GoBack"/>
      <w:bookmarkEnd w:id="0"/>
      <w:r w:rsidRPr="004B1F69">
        <w:rPr>
          <w:rFonts w:eastAsia="Times New Roman" w:cs="Calibri"/>
          <w:b/>
          <w:noProof/>
          <w:snapToGrid w:val="0"/>
          <w:lang w:val="ro-RO"/>
        </w:rPr>
        <w:t xml:space="preserve">cu privire la </w:t>
      </w:r>
      <w:r w:rsidR="005022A0">
        <w:rPr>
          <w:rFonts w:eastAsia="Times New Roman" w:cs="Calibri"/>
          <w:b/>
          <w:noProof/>
          <w:snapToGrid w:val="0"/>
          <w:lang w:val="ro-RO"/>
        </w:rPr>
        <w:t xml:space="preserve">colectarea informațiilor privind </w:t>
      </w:r>
      <w:r w:rsidR="00701D19" w:rsidRPr="004B1F69">
        <w:rPr>
          <w:rFonts w:eastAsia="Times New Roman" w:cs="Calibri"/>
          <w:b/>
          <w:noProof/>
          <w:snapToGrid w:val="0"/>
          <w:lang w:val="ro-RO"/>
        </w:rPr>
        <w:t>achizițiil</w:t>
      </w:r>
      <w:r w:rsidR="005A5E00">
        <w:rPr>
          <w:rFonts w:eastAsia="Times New Roman" w:cs="Calibri"/>
          <w:b/>
          <w:noProof/>
          <w:snapToGrid w:val="0"/>
          <w:lang w:val="ro-RO"/>
        </w:rPr>
        <w:t>e</w:t>
      </w:r>
      <w:r w:rsidR="00701D19" w:rsidRPr="004B1F69">
        <w:rPr>
          <w:rFonts w:eastAsia="Times New Roman" w:cs="Calibri"/>
          <w:b/>
          <w:noProof/>
          <w:snapToGrid w:val="0"/>
          <w:lang w:val="ro-RO"/>
        </w:rPr>
        <w:t xml:space="preserve"> publice/sectoriale de vehicule de transport rutier nepoluante și eficiente din punct de vedere energetic</w:t>
      </w:r>
    </w:p>
    <w:p w14:paraId="1AD9F74D" w14:textId="77777777" w:rsidR="0087465F" w:rsidRDefault="0087465F" w:rsidP="007C0043">
      <w:pPr>
        <w:ind w:left="0"/>
        <w:jc w:val="center"/>
        <w:rPr>
          <w:rFonts w:cs="Arial"/>
          <w:b/>
          <w:lang w:val="ro-RO"/>
        </w:rPr>
      </w:pPr>
    </w:p>
    <w:p w14:paraId="7F74BD06" w14:textId="77777777" w:rsidR="007C0043" w:rsidRDefault="007C0043" w:rsidP="007C0043">
      <w:pPr>
        <w:ind w:left="0"/>
        <w:jc w:val="center"/>
        <w:rPr>
          <w:rFonts w:cs="Arial"/>
          <w:b/>
          <w:lang w:val="ro-RO"/>
        </w:rPr>
      </w:pPr>
    </w:p>
    <w:p w14:paraId="53FF7C88" w14:textId="0A2A7BBF" w:rsidR="003A38AC" w:rsidRPr="00596E97" w:rsidRDefault="007C0043" w:rsidP="00D063A9">
      <w:pPr>
        <w:ind w:left="0" w:hanging="142"/>
        <w:rPr>
          <w:rFonts w:cs="Arial"/>
          <w:b/>
          <w:lang w:val="ro-RO"/>
        </w:rPr>
      </w:pPr>
      <w:r w:rsidRPr="00D063A9">
        <w:rPr>
          <w:rFonts w:cs="Arial"/>
          <w:b/>
          <w:lang w:val="ro-RO"/>
        </w:rPr>
        <w:t xml:space="preserve">I. </w:t>
      </w:r>
      <w:r w:rsidR="00940A55" w:rsidRPr="00D063A9">
        <w:rPr>
          <w:rFonts w:cs="Arial"/>
          <w:b/>
          <w:lang w:val="ro-RO"/>
        </w:rPr>
        <w:t>Context</w:t>
      </w:r>
      <w:r w:rsidR="0087465F" w:rsidRPr="00D063A9">
        <w:rPr>
          <w:rFonts w:cs="Arial"/>
          <w:b/>
          <w:lang w:val="ro-RO"/>
        </w:rPr>
        <w:t>:</w:t>
      </w:r>
    </w:p>
    <w:p w14:paraId="392C292A" w14:textId="4215BA3F" w:rsidR="00964DCD" w:rsidRPr="0021313C" w:rsidRDefault="00F46B27" w:rsidP="00964DCD">
      <w:pPr>
        <w:ind w:left="-142"/>
        <w:rPr>
          <w:rFonts w:cs="Arial"/>
          <w:b/>
          <w:lang w:val="ro-RO"/>
        </w:rPr>
      </w:pPr>
      <w:r>
        <w:rPr>
          <w:rFonts w:cs="Arial"/>
          <w:lang w:val="ro-RO"/>
        </w:rPr>
        <w:t xml:space="preserve">Printre dezideratele </w:t>
      </w:r>
      <w:r w:rsidR="00000F22">
        <w:rPr>
          <w:rFonts w:cs="Arial"/>
          <w:lang w:val="ro-RO"/>
        </w:rPr>
        <w:t xml:space="preserve">de actualitate ale </w:t>
      </w:r>
      <w:r w:rsidR="00964DCD" w:rsidRPr="0021313C">
        <w:rPr>
          <w:rFonts w:cs="Arial"/>
          <w:lang w:val="ro-RO"/>
        </w:rPr>
        <w:t>Uniun</w:t>
      </w:r>
      <w:r>
        <w:rPr>
          <w:rFonts w:cs="Arial"/>
          <w:lang w:val="ro-RO"/>
        </w:rPr>
        <w:t>ii</w:t>
      </w:r>
      <w:r w:rsidR="00964DCD" w:rsidRPr="0021313C">
        <w:rPr>
          <w:rFonts w:cs="Arial"/>
          <w:lang w:val="ro-RO"/>
        </w:rPr>
        <w:t xml:space="preserve"> Europen</w:t>
      </w:r>
      <w:r>
        <w:rPr>
          <w:rFonts w:cs="Arial"/>
          <w:lang w:val="ro-RO"/>
        </w:rPr>
        <w:t xml:space="preserve">e se numără și acela referitor la </w:t>
      </w:r>
      <w:r w:rsidR="00964DCD" w:rsidRPr="0021313C">
        <w:rPr>
          <w:rFonts w:cs="Arial"/>
          <w:lang w:val="ro-RO"/>
        </w:rPr>
        <w:t>asigura</w:t>
      </w:r>
      <w:r>
        <w:rPr>
          <w:rFonts w:cs="Arial"/>
          <w:lang w:val="ro-RO"/>
        </w:rPr>
        <w:t>rea</w:t>
      </w:r>
      <w:r w:rsidR="00964DCD" w:rsidRPr="0021313C">
        <w:rPr>
          <w:rFonts w:cs="Arial"/>
          <w:lang w:val="ro-RO"/>
        </w:rPr>
        <w:t xml:space="preserve"> un</w:t>
      </w:r>
      <w:r>
        <w:rPr>
          <w:rFonts w:cs="Arial"/>
          <w:lang w:val="ro-RO"/>
        </w:rPr>
        <w:t>ui</w:t>
      </w:r>
      <w:r w:rsidR="00964DCD" w:rsidRPr="0021313C">
        <w:rPr>
          <w:rFonts w:cs="Arial"/>
          <w:lang w:val="ro-RO"/>
        </w:rPr>
        <w:t xml:space="preserve"> sistem energetic durabil, competitiv, sigur și care generează emisii reduse de dioxid de carbon, unul dintre principalele obiective vizate în acest sens fiind </w:t>
      </w:r>
      <w:r w:rsidR="00964DCD" w:rsidRPr="0021313C">
        <w:rPr>
          <w:rFonts w:cs="Arial"/>
          <w:b/>
          <w:lang w:val="ro-RO"/>
        </w:rPr>
        <w:t>accelerarea decarbonizării sectorului transporturilor</w:t>
      </w:r>
      <w:r w:rsidR="00964DCD" w:rsidRPr="0021313C">
        <w:rPr>
          <w:rFonts w:cs="Arial"/>
          <w:lang w:val="ro-RO"/>
        </w:rPr>
        <w:t xml:space="preserve"> prin aplicarea de măsuri care să favorizeze tranziția spre preponderența transportului public și</w:t>
      </w:r>
      <w:r w:rsidR="00964DCD" w:rsidRPr="0021313C">
        <w:rPr>
          <w:rFonts w:cs="Arial"/>
          <w:b/>
          <w:lang w:val="ro-RO"/>
        </w:rPr>
        <w:t xml:space="preserve"> promovarea vehiculelor nepoluante prin intermediul procedurilor de achiziții publice.</w:t>
      </w:r>
    </w:p>
    <w:p w14:paraId="13602744" w14:textId="2894E1B2" w:rsidR="003A38AC" w:rsidRPr="00D063A9" w:rsidRDefault="003A38AC" w:rsidP="003A38AC">
      <w:pPr>
        <w:spacing w:after="160"/>
        <w:ind w:left="-142"/>
        <w:rPr>
          <w:rFonts w:eastAsia="Calibri"/>
          <w:b/>
          <w:bCs/>
          <w:lang w:val="ro-RO"/>
        </w:rPr>
      </w:pPr>
      <w:r w:rsidRPr="003A38AC">
        <w:rPr>
          <w:rFonts w:eastAsia="Calibri"/>
          <w:bCs/>
          <w:lang w:val="ro-RO"/>
        </w:rPr>
        <w:t>Adoptarea Directivei (UE) 2019/1161 a adus modificări semnificative la nivelul Directivei 2009/33/CE</w:t>
      </w:r>
      <w:r w:rsidR="00964DCD">
        <w:rPr>
          <w:rFonts w:eastAsia="Calibri"/>
          <w:bCs/>
          <w:lang w:val="ro-RO"/>
        </w:rPr>
        <w:t xml:space="preserve"> </w:t>
      </w:r>
      <w:r w:rsidR="00964DCD" w:rsidRPr="00964DCD">
        <w:rPr>
          <w:rFonts w:eastAsia="Calibri"/>
          <w:b/>
          <w:bCs/>
          <w:i/>
          <w:lang w:val="ro-RO"/>
        </w:rPr>
        <w:t>a Parlamentului European și a Consiliului din 23 Aprilie 2009 privind promovarea vehiculelor de transport rutier nepoluante și eficiente din punct de vedere energetic</w:t>
      </w:r>
      <w:r w:rsidR="00964DCD">
        <w:rPr>
          <w:rFonts w:eastAsia="Calibri"/>
          <w:bCs/>
          <w:lang w:val="ro-RO"/>
        </w:rPr>
        <w:t xml:space="preserve"> </w:t>
      </w:r>
      <w:r w:rsidRPr="003A38AC">
        <w:rPr>
          <w:rFonts w:eastAsia="Calibri"/>
          <w:bCs/>
          <w:lang w:val="ro-RO"/>
        </w:rPr>
        <w:t>, în ceea ce privește  abordare</w:t>
      </w:r>
      <w:r w:rsidR="00B858CF">
        <w:rPr>
          <w:rFonts w:eastAsia="Calibri"/>
          <w:bCs/>
          <w:lang w:val="ro-RO"/>
        </w:rPr>
        <w:t>a</w:t>
      </w:r>
      <w:r w:rsidRPr="003A38AC">
        <w:rPr>
          <w:rFonts w:eastAsia="Calibri"/>
          <w:bCs/>
          <w:lang w:val="ro-RO"/>
        </w:rPr>
        <w:t xml:space="preserve"> generală în domeniul achizițiilor publice de vehicule nepoluante, </w:t>
      </w:r>
      <w:r w:rsidRPr="00D063A9">
        <w:rPr>
          <w:rFonts w:eastAsia="Calibri"/>
          <w:b/>
          <w:bCs/>
          <w:lang w:val="ro-RO"/>
        </w:rPr>
        <w:t>obiectivul principal fiind acela de a stimula cererea pentru vehicule nepoluante, în susținerea tranziției către o mobilitate cu emisii scăzute.</w:t>
      </w:r>
    </w:p>
    <w:p w14:paraId="4B330522" w14:textId="72A342C0" w:rsidR="003A38AC" w:rsidRPr="00D063A9" w:rsidRDefault="005A5E00" w:rsidP="00940A55">
      <w:pPr>
        <w:spacing w:after="160"/>
        <w:ind w:left="-142"/>
        <w:rPr>
          <w:rFonts w:eastAsia="Calibri"/>
          <w:bCs/>
          <w:iCs/>
          <w:lang w:val="ro-RO"/>
        </w:rPr>
      </w:pPr>
      <w:r>
        <w:rPr>
          <w:rFonts w:eastAsia="Calibri"/>
          <w:bCs/>
          <w:lang w:val="ro-RO"/>
        </w:rPr>
        <w:t>România, î</w:t>
      </w:r>
      <w:r w:rsidR="00C70F21">
        <w:rPr>
          <w:rFonts w:eastAsia="Calibri"/>
          <w:bCs/>
          <w:lang w:val="ro-RO"/>
        </w:rPr>
        <w:t xml:space="preserve">n calitatea sa de stat membru, pentru a-și îndeplini obligația de a asigura </w:t>
      </w:r>
      <w:r w:rsidR="00C70F21" w:rsidRPr="00C70F21">
        <w:rPr>
          <w:rFonts w:eastAsia="Calibri"/>
          <w:bCs/>
          <w:lang w:val="ro-RO"/>
        </w:rPr>
        <w:t>intrarea în vigoare</w:t>
      </w:r>
      <w:r w:rsidR="000F03C3">
        <w:rPr>
          <w:rFonts w:eastAsia="Calibri"/>
          <w:bCs/>
          <w:lang w:val="ro-RO"/>
        </w:rPr>
        <w:t>,</w:t>
      </w:r>
      <w:r w:rsidR="00C70F21" w:rsidRPr="00C70F21">
        <w:rPr>
          <w:rFonts w:eastAsia="Calibri"/>
          <w:bCs/>
          <w:lang w:val="ro-RO"/>
        </w:rPr>
        <w:t xml:space="preserve"> </w:t>
      </w:r>
      <w:r w:rsidR="000F03C3">
        <w:rPr>
          <w:rFonts w:eastAsia="Calibri"/>
          <w:bCs/>
          <w:lang w:val="ro-RO"/>
        </w:rPr>
        <w:t>la nivel național,</w:t>
      </w:r>
      <w:r w:rsidR="000F03C3" w:rsidRPr="00C70F21">
        <w:rPr>
          <w:rFonts w:eastAsia="Calibri"/>
          <w:bCs/>
          <w:lang w:val="ro-RO"/>
        </w:rPr>
        <w:t xml:space="preserve"> </w:t>
      </w:r>
      <w:r w:rsidR="00C70F21" w:rsidRPr="00C70F21">
        <w:rPr>
          <w:rFonts w:eastAsia="Calibri"/>
          <w:bCs/>
          <w:lang w:val="ro-RO"/>
        </w:rPr>
        <w:t>a actelor cu putere de lege și a actelor administrative necesare pentru a se conforma cu actul normativ european,</w:t>
      </w:r>
      <w:r w:rsidR="00C70F21" w:rsidRPr="00C70F21">
        <w:rPr>
          <w:rFonts w:eastAsia="Times New Roman"/>
          <w:lang w:val="ro-RO"/>
        </w:rPr>
        <w:t xml:space="preserve"> </w:t>
      </w:r>
      <w:r w:rsidR="00C70F21" w:rsidRPr="0021313C">
        <w:rPr>
          <w:rFonts w:eastAsia="Calibri"/>
          <w:b/>
          <w:bCs/>
          <w:lang w:val="ro-RO"/>
        </w:rPr>
        <w:t xml:space="preserve">a adoptat </w:t>
      </w:r>
      <w:r w:rsidR="003A38AC" w:rsidRPr="00D063A9">
        <w:rPr>
          <w:rFonts w:eastAsia="Calibri"/>
          <w:b/>
          <w:bCs/>
          <w:i/>
          <w:iCs/>
          <w:lang w:val="ro-RO"/>
        </w:rPr>
        <w:t>Ordonanț</w:t>
      </w:r>
      <w:r w:rsidR="00C70F21" w:rsidRPr="00D063A9">
        <w:rPr>
          <w:rFonts w:eastAsia="Calibri"/>
          <w:b/>
          <w:bCs/>
          <w:i/>
          <w:iCs/>
          <w:lang w:val="ro-RO"/>
        </w:rPr>
        <w:t>a</w:t>
      </w:r>
      <w:r w:rsidR="003A38AC" w:rsidRPr="00D063A9">
        <w:rPr>
          <w:rFonts w:eastAsia="Calibri"/>
          <w:b/>
          <w:bCs/>
          <w:i/>
          <w:iCs/>
          <w:lang w:val="ro-RO"/>
        </w:rPr>
        <w:t xml:space="preserve"> de urgență a Guvernului nr. 71/2021 privind promovarea vehiculelor de transport rutier nepoluante, în sprijinul unei mobilități cu emisii scăzute</w:t>
      </w:r>
      <w:r w:rsidR="003A38AC" w:rsidRPr="00D063A9">
        <w:rPr>
          <w:rFonts w:eastAsia="Calibri"/>
          <w:bCs/>
          <w:iCs/>
          <w:lang w:val="ro-RO"/>
        </w:rPr>
        <w:t xml:space="preserve">, pentru abrogarea Ordonanței de urgență a Guvernului nr. 40/2011 privind promovarea vehiculelor de transport rutier nepoluante şi eficiente din punct de vedere energetic și a Legii nr. 37/2018 privind promovarea transportului ecologic. </w:t>
      </w:r>
    </w:p>
    <w:p w14:paraId="507871F0" w14:textId="0565A88C" w:rsidR="00085507" w:rsidRPr="00D063A9" w:rsidRDefault="00085507" w:rsidP="00940A55">
      <w:pPr>
        <w:spacing w:after="160"/>
        <w:ind w:left="-142"/>
        <w:rPr>
          <w:rFonts w:eastAsia="Calibri"/>
          <w:b/>
          <w:bCs/>
          <w:iCs/>
          <w:lang w:val="ro-RO"/>
        </w:rPr>
      </w:pPr>
      <w:r>
        <w:rPr>
          <w:rFonts w:eastAsia="Calibri"/>
          <w:bCs/>
          <w:iCs/>
          <w:lang w:val="ro-RO"/>
        </w:rPr>
        <w:t>P</w:t>
      </w:r>
      <w:r w:rsidRPr="00085507">
        <w:rPr>
          <w:rFonts w:eastAsia="Calibri"/>
          <w:bCs/>
          <w:iCs/>
          <w:lang w:val="ro-RO"/>
        </w:rPr>
        <w:t xml:space="preserve">rin </w:t>
      </w:r>
      <w:r>
        <w:rPr>
          <w:rFonts w:eastAsia="Calibri"/>
          <w:bCs/>
          <w:iCs/>
          <w:lang w:val="ro-RO"/>
        </w:rPr>
        <w:t xml:space="preserve">actul normativ adoptat </w:t>
      </w:r>
      <w:r w:rsidRPr="00085507">
        <w:rPr>
          <w:rFonts w:eastAsia="Calibri"/>
          <w:bCs/>
          <w:iCs/>
          <w:lang w:val="ro-RO"/>
        </w:rPr>
        <w:t xml:space="preserve">(care asigură transpunerea integrală în legislația națională a prevederilor Directivei (UE) 2019/1161) </w:t>
      </w:r>
      <w:r w:rsidRPr="0021313C">
        <w:rPr>
          <w:rFonts w:eastAsia="Calibri"/>
          <w:b/>
          <w:bCs/>
          <w:iCs/>
          <w:lang w:val="ro-RO"/>
        </w:rPr>
        <w:t xml:space="preserve">sunt reglementate condiții privind promovarea și stimularea </w:t>
      </w:r>
      <w:r w:rsidRPr="00D063A9">
        <w:rPr>
          <w:rFonts w:eastAsia="Calibri"/>
          <w:b/>
          <w:bCs/>
          <w:iCs/>
          <w:lang w:val="ro-RO"/>
        </w:rPr>
        <w:t>introducerii pe piață a  vehiculelor nepoluante și eficiente din punct de vedere energetic</w:t>
      </w:r>
      <w:r w:rsidRPr="00085507">
        <w:rPr>
          <w:rFonts w:eastAsia="Calibri"/>
          <w:bCs/>
          <w:iCs/>
          <w:lang w:val="ro-RO"/>
        </w:rPr>
        <w:t>,</w:t>
      </w:r>
      <w:r w:rsidR="00084557">
        <w:rPr>
          <w:rFonts w:eastAsia="Calibri"/>
          <w:bCs/>
          <w:iCs/>
          <w:lang w:val="ro-RO"/>
        </w:rPr>
        <w:t xml:space="preserve"> fiind prevăzut</w:t>
      </w:r>
      <w:r w:rsidR="00061653">
        <w:rPr>
          <w:rFonts w:eastAsia="Calibri"/>
          <w:bCs/>
          <w:iCs/>
          <w:lang w:val="ro-RO"/>
        </w:rPr>
        <w:t>ă,</w:t>
      </w:r>
      <w:r w:rsidR="00084557">
        <w:rPr>
          <w:rFonts w:eastAsia="Calibri"/>
          <w:bCs/>
          <w:iCs/>
          <w:lang w:val="ro-RO"/>
        </w:rPr>
        <w:t xml:space="preserve"> </w:t>
      </w:r>
      <w:r w:rsidR="00061653">
        <w:rPr>
          <w:rFonts w:eastAsia="Calibri"/>
          <w:bCs/>
          <w:iCs/>
          <w:lang w:val="ro-RO"/>
        </w:rPr>
        <w:t xml:space="preserve">în sarcina </w:t>
      </w:r>
      <w:r w:rsidR="005A5E00">
        <w:rPr>
          <w:rFonts w:eastAsia="Calibri"/>
          <w:bCs/>
          <w:iCs/>
          <w:lang w:val="ro-RO"/>
        </w:rPr>
        <w:t>autorităților și entităților contractante</w:t>
      </w:r>
      <w:r w:rsidR="00061653">
        <w:rPr>
          <w:rFonts w:eastAsia="Calibri"/>
          <w:bCs/>
          <w:iCs/>
          <w:lang w:val="ro-RO"/>
        </w:rPr>
        <w:t>,</w:t>
      </w:r>
      <w:r w:rsidR="005A5E00">
        <w:rPr>
          <w:rFonts w:eastAsia="Calibri"/>
          <w:bCs/>
          <w:iCs/>
          <w:lang w:val="ro-RO"/>
        </w:rPr>
        <w:t xml:space="preserve"> </w:t>
      </w:r>
      <w:r w:rsidR="00084557">
        <w:rPr>
          <w:rFonts w:eastAsia="Calibri"/>
          <w:bCs/>
          <w:iCs/>
          <w:lang w:val="ro-RO"/>
        </w:rPr>
        <w:t>obligați</w:t>
      </w:r>
      <w:r w:rsidR="00061653">
        <w:rPr>
          <w:rFonts w:eastAsia="Calibri"/>
          <w:bCs/>
          <w:iCs/>
          <w:lang w:val="ro-RO"/>
        </w:rPr>
        <w:t>a</w:t>
      </w:r>
      <w:r w:rsidR="00084557">
        <w:rPr>
          <w:rFonts w:eastAsia="Calibri"/>
          <w:bCs/>
          <w:iCs/>
          <w:lang w:val="ro-RO"/>
        </w:rPr>
        <w:t xml:space="preserve"> de </w:t>
      </w:r>
      <w:r w:rsidR="00084557" w:rsidRPr="003A38AC">
        <w:rPr>
          <w:rFonts w:eastAsia="Calibri"/>
          <w:bCs/>
          <w:iCs/>
          <w:lang w:val="ro-RO"/>
        </w:rPr>
        <w:t xml:space="preserve">a ţine cont de impactul energetic şi de mediu pe durata de viaţă, inclusiv de consumul energetic, de emisiile de CO2 şi de anumiţi poluanţi, atunci când achiziţionează anumite </w:t>
      </w:r>
      <w:r w:rsidR="00330B32">
        <w:rPr>
          <w:rFonts w:eastAsia="Calibri"/>
          <w:bCs/>
          <w:iCs/>
          <w:lang w:val="ro-RO"/>
        </w:rPr>
        <w:t xml:space="preserve">categorii de </w:t>
      </w:r>
      <w:r w:rsidR="00084557" w:rsidRPr="003A38AC">
        <w:rPr>
          <w:rFonts w:eastAsia="Calibri"/>
          <w:bCs/>
          <w:iCs/>
          <w:lang w:val="ro-RO"/>
        </w:rPr>
        <w:t xml:space="preserve">vehicule </w:t>
      </w:r>
      <w:r w:rsidR="00084557">
        <w:rPr>
          <w:rFonts w:eastAsia="Calibri"/>
          <w:bCs/>
          <w:iCs/>
          <w:lang w:val="ro-RO"/>
        </w:rPr>
        <w:t>de transport rutier</w:t>
      </w:r>
      <w:r w:rsidR="00DF4009">
        <w:rPr>
          <w:rFonts w:eastAsia="Calibri"/>
          <w:bCs/>
          <w:iCs/>
          <w:lang w:val="ro-RO"/>
        </w:rPr>
        <w:t xml:space="preserve">, </w:t>
      </w:r>
      <w:r w:rsidR="006411D9" w:rsidRPr="00D063A9">
        <w:rPr>
          <w:rFonts w:eastAsia="Calibri"/>
          <w:b/>
          <w:bCs/>
          <w:iCs/>
          <w:lang w:val="ro-RO"/>
        </w:rPr>
        <w:t>fiind stabilite</w:t>
      </w:r>
      <w:r w:rsidR="00330B32" w:rsidRPr="00D063A9">
        <w:rPr>
          <w:rFonts w:eastAsia="Calibri"/>
          <w:b/>
          <w:bCs/>
          <w:iCs/>
          <w:lang w:val="ro-RO"/>
        </w:rPr>
        <w:t>,</w:t>
      </w:r>
      <w:r w:rsidR="00DF4009" w:rsidRPr="00D063A9">
        <w:rPr>
          <w:rFonts w:eastAsia="Calibri"/>
          <w:b/>
          <w:bCs/>
          <w:iCs/>
          <w:lang w:val="ro-RO"/>
        </w:rPr>
        <w:t xml:space="preserve"> </w:t>
      </w:r>
      <w:r w:rsidRPr="00D063A9">
        <w:rPr>
          <w:rFonts w:eastAsia="Calibri"/>
          <w:b/>
          <w:bCs/>
          <w:iCs/>
          <w:lang w:val="ro-RO"/>
        </w:rPr>
        <w:t>în acest sens</w:t>
      </w:r>
      <w:r w:rsidR="006411D9" w:rsidRPr="00D063A9">
        <w:rPr>
          <w:rFonts w:eastAsia="Calibri"/>
          <w:b/>
          <w:bCs/>
          <w:iCs/>
          <w:lang w:val="ro-RO"/>
        </w:rPr>
        <w:t xml:space="preserve">, </w:t>
      </w:r>
      <w:r w:rsidR="006411D9" w:rsidRPr="00DC6833">
        <w:rPr>
          <w:rFonts w:eastAsia="Calibri"/>
          <w:b/>
          <w:bCs/>
          <w:iCs/>
          <w:u w:val="single"/>
          <w:lang w:val="ro-RO"/>
        </w:rPr>
        <w:t>o serie de</w:t>
      </w:r>
      <w:r w:rsidR="00061653" w:rsidRPr="00DC6833">
        <w:rPr>
          <w:rFonts w:eastAsia="Calibri"/>
          <w:b/>
          <w:bCs/>
          <w:iCs/>
          <w:u w:val="single"/>
          <w:lang w:val="ro-RO"/>
        </w:rPr>
        <w:t xml:space="preserve"> </w:t>
      </w:r>
      <w:r w:rsidRPr="00DC6833">
        <w:rPr>
          <w:rFonts w:eastAsia="Calibri"/>
          <w:b/>
          <w:bCs/>
          <w:iCs/>
          <w:u w:val="single"/>
          <w:lang w:val="ro-RO"/>
        </w:rPr>
        <w:t>ținte minime</w:t>
      </w:r>
      <w:r w:rsidRPr="00D063A9">
        <w:rPr>
          <w:rFonts w:eastAsia="Calibri"/>
          <w:b/>
          <w:bCs/>
          <w:iCs/>
          <w:lang w:val="ro-RO"/>
        </w:rPr>
        <w:t xml:space="preserve"> (exprimate ca procente minime de vehicule nepoluante din numărul total al vehiculelor de transport rutier </w:t>
      </w:r>
      <w:r w:rsidR="00061653" w:rsidRPr="00D063A9">
        <w:rPr>
          <w:rFonts w:eastAsia="Calibri"/>
          <w:b/>
          <w:bCs/>
          <w:iCs/>
          <w:lang w:val="ro-RO"/>
        </w:rPr>
        <w:t>achiz</w:t>
      </w:r>
      <w:r w:rsidR="00330B32" w:rsidRPr="00D063A9">
        <w:rPr>
          <w:rFonts w:eastAsia="Calibri"/>
          <w:b/>
          <w:bCs/>
          <w:iCs/>
          <w:lang w:val="ro-RO"/>
        </w:rPr>
        <w:t>i</w:t>
      </w:r>
      <w:r w:rsidR="00061653" w:rsidRPr="00D063A9">
        <w:rPr>
          <w:rFonts w:eastAsia="Calibri"/>
          <w:b/>
          <w:bCs/>
          <w:iCs/>
          <w:lang w:val="ro-RO"/>
        </w:rPr>
        <w:t>ționate</w:t>
      </w:r>
      <w:r w:rsidRPr="00D063A9">
        <w:rPr>
          <w:rFonts w:eastAsia="Calibri"/>
          <w:b/>
          <w:bCs/>
          <w:iCs/>
          <w:lang w:val="ro-RO"/>
        </w:rPr>
        <w:t xml:space="preserve">) ce trebuie atinse de către </w:t>
      </w:r>
      <w:r w:rsidR="00DF4009" w:rsidRPr="00D063A9">
        <w:rPr>
          <w:rFonts w:eastAsia="Calibri"/>
          <w:b/>
          <w:bCs/>
          <w:iCs/>
          <w:lang w:val="ro-RO"/>
        </w:rPr>
        <w:t>acestea</w:t>
      </w:r>
      <w:r w:rsidR="006411D9" w:rsidRPr="00D063A9">
        <w:rPr>
          <w:rFonts w:eastAsia="Calibri"/>
          <w:b/>
          <w:bCs/>
          <w:iCs/>
          <w:lang w:val="ro-RO"/>
        </w:rPr>
        <w:t xml:space="preserve"> în anumite intervale de timp</w:t>
      </w:r>
      <w:r w:rsidR="00DF4009" w:rsidRPr="00D063A9">
        <w:rPr>
          <w:rFonts w:eastAsia="Calibri"/>
          <w:b/>
          <w:bCs/>
          <w:iCs/>
          <w:lang w:val="ro-RO"/>
        </w:rPr>
        <w:t>.</w:t>
      </w:r>
    </w:p>
    <w:p w14:paraId="57D699DA" w14:textId="36C37817" w:rsidR="00C247A4" w:rsidRPr="00D063A9" w:rsidRDefault="00C247A4" w:rsidP="008271AE">
      <w:pPr>
        <w:spacing w:after="160"/>
        <w:ind w:left="-142"/>
        <w:rPr>
          <w:rFonts w:eastAsia="Calibri"/>
          <w:b/>
          <w:bCs/>
          <w:iCs/>
          <w:lang w:val="ro-RO"/>
        </w:rPr>
      </w:pPr>
      <w:r w:rsidRPr="00D063A9">
        <w:rPr>
          <w:rFonts w:eastAsia="Calibri"/>
          <w:b/>
          <w:bCs/>
          <w:iCs/>
          <w:lang w:val="ro-RO"/>
        </w:rPr>
        <w:lastRenderedPageBreak/>
        <w:t xml:space="preserve">II. </w:t>
      </w:r>
      <w:r w:rsidR="0087465F" w:rsidRPr="00D063A9">
        <w:rPr>
          <w:rFonts w:eastAsia="Calibri"/>
          <w:b/>
          <w:bCs/>
          <w:iCs/>
          <w:lang w:val="ro-RO"/>
        </w:rPr>
        <w:t>Situația actuală</w:t>
      </w:r>
      <w:r w:rsidR="00CE732E">
        <w:rPr>
          <w:rFonts w:eastAsia="Calibri"/>
          <w:b/>
          <w:bCs/>
          <w:iCs/>
          <w:lang w:val="ro-RO"/>
        </w:rPr>
        <w:t xml:space="preserve"> – obligațiile autorităților/entităților contractante</w:t>
      </w:r>
      <w:r w:rsidR="0087465F" w:rsidRPr="00D063A9">
        <w:rPr>
          <w:rFonts w:eastAsia="Calibri"/>
          <w:b/>
          <w:bCs/>
          <w:iCs/>
          <w:lang w:val="ro-RO"/>
        </w:rPr>
        <w:t>:</w:t>
      </w:r>
    </w:p>
    <w:p w14:paraId="0173D1BE" w14:textId="27FFAC12" w:rsidR="001362B5" w:rsidRDefault="0087465F" w:rsidP="008271AE">
      <w:pPr>
        <w:spacing w:after="160"/>
        <w:ind w:left="-142"/>
        <w:rPr>
          <w:rFonts w:eastAsia="Calibri"/>
          <w:bCs/>
          <w:iCs/>
          <w:lang w:val="ro-RO"/>
        </w:rPr>
      </w:pPr>
      <w:r>
        <w:rPr>
          <w:rFonts w:eastAsia="Calibri"/>
          <w:bCs/>
          <w:iCs/>
          <w:lang w:val="ro-RO"/>
        </w:rPr>
        <w:t>Î</w:t>
      </w:r>
      <w:r w:rsidR="00AF4C85">
        <w:rPr>
          <w:rFonts w:eastAsia="Calibri"/>
          <w:bCs/>
          <w:iCs/>
          <w:lang w:val="ro-RO"/>
        </w:rPr>
        <w:t xml:space="preserve">ncepând cu data de 2 august 2021, în </w:t>
      </w:r>
      <w:r w:rsidR="008271AE">
        <w:rPr>
          <w:rFonts w:eastAsia="Calibri"/>
          <w:bCs/>
          <w:iCs/>
          <w:lang w:val="ro-RO"/>
        </w:rPr>
        <w:t>procesul de achiziție publică sau achiziție sectorială derulat pentru a</w:t>
      </w:r>
      <w:r w:rsidR="001C18AC">
        <w:rPr>
          <w:rFonts w:eastAsia="Calibri"/>
          <w:bCs/>
          <w:iCs/>
          <w:lang w:val="ro-RO"/>
        </w:rPr>
        <w:t>tribuirea contractelor</w:t>
      </w:r>
      <w:r>
        <w:rPr>
          <w:rFonts w:eastAsia="Calibri"/>
          <w:bCs/>
          <w:iCs/>
          <w:lang w:val="ro-RO"/>
        </w:rPr>
        <w:t xml:space="preserve"> </w:t>
      </w:r>
      <w:r w:rsidR="00F247E8">
        <w:rPr>
          <w:rFonts w:eastAsia="Calibri"/>
          <w:bCs/>
          <w:iCs/>
          <w:lang w:val="ro-RO"/>
        </w:rPr>
        <w:t>p</w:t>
      </w:r>
      <w:r w:rsidR="00F247E8" w:rsidRPr="00F247E8">
        <w:rPr>
          <w:rFonts w:eastAsia="Calibri"/>
          <w:bCs/>
          <w:iCs/>
          <w:lang w:val="ro-RO"/>
        </w:rPr>
        <w:t>revăzute la art. 2 alin (1) din OUG nr. 71/2021</w:t>
      </w:r>
      <w:r w:rsidR="00F247E8">
        <w:rPr>
          <w:rFonts w:eastAsia="Calibri"/>
          <w:bCs/>
          <w:iCs/>
          <w:lang w:val="ro-RO"/>
        </w:rPr>
        <w:t>, c</w:t>
      </w:r>
      <w:r>
        <w:rPr>
          <w:rFonts w:eastAsia="Calibri"/>
          <w:bCs/>
          <w:iCs/>
          <w:lang w:val="ro-RO"/>
        </w:rPr>
        <w:t>e au ca obiect</w:t>
      </w:r>
      <w:r w:rsidR="001362B5">
        <w:rPr>
          <w:rFonts w:eastAsia="Calibri"/>
          <w:bCs/>
          <w:iCs/>
          <w:lang w:val="ro-RO"/>
        </w:rPr>
        <w:t>:</w:t>
      </w:r>
    </w:p>
    <w:p w14:paraId="26A2FA29" w14:textId="61949085" w:rsidR="001362B5" w:rsidRDefault="0087465F" w:rsidP="008271AE">
      <w:pPr>
        <w:spacing w:after="160"/>
        <w:ind w:left="-142"/>
        <w:rPr>
          <w:rFonts w:eastAsia="Calibri"/>
          <w:bCs/>
          <w:iCs/>
          <w:lang w:val="ro-RO"/>
        </w:rPr>
      </w:pPr>
      <w:r>
        <w:rPr>
          <w:rFonts w:eastAsia="Calibri"/>
          <w:bCs/>
          <w:iCs/>
          <w:lang w:val="ro-RO"/>
        </w:rPr>
        <w:t xml:space="preserve"> </w:t>
      </w:r>
      <w:r w:rsidR="001362B5">
        <w:rPr>
          <w:rFonts w:eastAsia="Calibri"/>
          <w:bCs/>
          <w:iCs/>
          <w:lang w:val="ro-RO"/>
        </w:rPr>
        <w:t>„</w:t>
      </w:r>
      <w:r w:rsidR="009026B4">
        <w:rPr>
          <w:rFonts w:eastAsia="Calibri"/>
          <w:bCs/>
          <w:iCs/>
          <w:lang w:val="ro-RO"/>
        </w:rPr>
        <w:t xml:space="preserve">a) </w:t>
      </w:r>
      <w:r w:rsidR="001362B5" w:rsidRPr="00D063A9">
        <w:rPr>
          <w:rFonts w:eastAsia="Calibri"/>
          <w:bCs/>
          <w:i/>
          <w:iCs/>
          <w:lang w:val="ro-RO"/>
        </w:rPr>
        <w:t>cumpărare, leasing, închiriere sau cumpărare cu plata în rate de vehicule de transport rutier</w:t>
      </w:r>
      <w:r w:rsidR="009026B4">
        <w:rPr>
          <w:rFonts w:eastAsia="Calibri"/>
          <w:bCs/>
          <w:i/>
          <w:iCs/>
          <w:lang w:val="ro-RO"/>
        </w:rPr>
        <w:t xml:space="preserve">, </w:t>
      </w:r>
      <w:r w:rsidR="009026B4" w:rsidRPr="009026B4">
        <w:rPr>
          <w:rFonts w:eastAsia="Calibri"/>
          <w:bCs/>
          <w:i/>
          <w:iCs/>
          <w:lang w:val="ro-RO"/>
        </w:rPr>
        <w:t>atribuite de autorităţi contractante sau entităţi contractante, în măsura în care acestea intră sub incidenţa obligaţiei de a aplica procedurile de atribuire prevăzute la art. 68 alin. (1) lit. a)-g) din Legea nr. 98/2016 privind achiziţiile publice, cu modificările şi completările ulterioare, respectiv la art. 82 alin. (1) lit. a)-g) din Legea nr. 99/2016 privind achiziţiile sectoriale, cu modificările şi completările ulterioare;</w:t>
      </w:r>
    </w:p>
    <w:p w14:paraId="328F87FD" w14:textId="71AA0F80" w:rsidR="001362B5" w:rsidRPr="00D063A9" w:rsidRDefault="009026B4" w:rsidP="001362B5">
      <w:pPr>
        <w:spacing w:after="160"/>
        <w:ind w:left="-142"/>
        <w:rPr>
          <w:rFonts w:eastAsia="Calibri"/>
          <w:bCs/>
          <w:i/>
          <w:iCs/>
        </w:rPr>
      </w:pPr>
      <w:r w:rsidRPr="00D063A9">
        <w:rPr>
          <w:rFonts w:eastAsia="Calibri"/>
          <w:bCs/>
          <w:i/>
          <w:iCs/>
          <w:lang w:val="ro-RO"/>
        </w:rPr>
        <w:t xml:space="preserve">b) </w:t>
      </w:r>
      <w:r w:rsidR="001362B5" w:rsidRPr="00D063A9">
        <w:rPr>
          <w:rFonts w:eastAsia="Calibri"/>
          <w:bCs/>
          <w:i/>
          <w:iCs/>
          <w:lang w:val="ro-RO"/>
        </w:rPr>
        <w:t xml:space="preserve">servicii publice, astfel cum sunt definite la art. 2 lit. i) din </w:t>
      </w:r>
      <w:hyperlink r:id="rId8" w:anchor="A0" w:tgtFrame="_blank" w:history="1">
        <w:r w:rsidR="001362B5" w:rsidRPr="00D063A9">
          <w:rPr>
            <w:rStyle w:val="Hyperlink"/>
            <w:rFonts w:eastAsia="Calibri"/>
            <w:bCs/>
            <w:i/>
            <w:iCs/>
            <w:color w:val="auto"/>
            <w:u w:val="none"/>
            <w:lang w:val="ro-RO"/>
          </w:rPr>
          <w:t>Regulamentul (CE) nr. 1.370/2007</w:t>
        </w:r>
      </w:hyperlink>
      <w:r w:rsidR="001362B5" w:rsidRPr="00D063A9">
        <w:rPr>
          <w:rFonts w:eastAsia="Calibri"/>
          <w:bCs/>
          <w:i/>
          <w:iCs/>
          <w:lang w:val="ro-RO"/>
        </w:rPr>
        <w:t xml:space="preserve"> al Parlamentului European şi al Consiliului din 23 octombrie 2007 privind serviciile publice de transport feroviar şi rutier de călători şi de abrogare a </w:t>
      </w:r>
      <w:hyperlink r:id="rId9" w:anchor="A0" w:tgtFrame="_blank" w:history="1">
        <w:r w:rsidR="001362B5" w:rsidRPr="00D063A9">
          <w:rPr>
            <w:rStyle w:val="Hyperlink"/>
            <w:rFonts w:eastAsia="Calibri"/>
            <w:bCs/>
            <w:i/>
            <w:iCs/>
            <w:color w:val="auto"/>
            <w:u w:val="none"/>
            <w:lang w:val="ro-RO"/>
          </w:rPr>
          <w:t>Regulamentelor (CEE) nr. 1.191/69</w:t>
        </w:r>
      </w:hyperlink>
      <w:r w:rsidR="001362B5" w:rsidRPr="00D063A9">
        <w:rPr>
          <w:rFonts w:eastAsia="Calibri"/>
          <w:bCs/>
          <w:i/>
          <w:iCs/>
          <w:lang w:val="ro-RO"/>
        </w:rPr>
        <w:t xml:space="preserve"> şi </w:t>
      </w:r>
      <w:hyperlink r:id="rId10" w:anchor="A0" w:tgtFrame="_blank" w:history="1">
        <w:r w:rsidR="001362B5" w:rsidRPr="00D063A9">
          <w:rPr>
            <w:rStyle w:val="Hyperlink"/>
            <w:rFonts w:eastAsia="Calibri"/>
            <w:bCs/>
            <w:i/>
            <w:iCs/>
            <w:color w:val="auto"/>
            <w:u w:val="none"/>
            <w:lang w:val="ro-RO"/>
          </w:rPr>
          <w:t xml:space="preserve">nr. 1.107/70 </w:t>
        </w:r>
      </w:hyperlink>
      <w:r w:rsidR="001362B5" w:rsidRPr="00D063A9">
        <w:rPr>
          <w:rFonts w:eastAsia="Calibri"/>
          <w:bCs/>
          <w:i/>
          <w:iCs/>
          <w:lang w:val="ro-RO"/>
        </w:rPr>
        <w:t xml:space="preserve">ale Consiliului, având ca obiect prestarea de servicii de transport rutier de pasageri, a căror valoare estimată este egală sau mai mare decât pragul prevăzut la </w:t>
      </w:r>
      <w:hyperlink w:history="1">
        <w:r w:rsidR="001362B5" w:rsidRPr="00D063A9">
          <w:rPr>
            <w:rStyle w:val="Hyperlink"/>
            <w:rFonts w:eastAsia="Calibri"/>
            <w:bCs/>
            <w:i/>
            <w:iCs/>
            <w:color w:val="auto"/>
            <w:u w:val="none"/>
            <w:lang w:val="ro-RO"/>
          </w:rPr>
          <w:t xml:space="preserve">art. 12 alin. </w:t>
        </w:r>
        <w:r w:rsidR="001362B5" w:rsidRPr="00D063A9">
          <w:rPr>
            <w:rStyle w:val="Hyperlink"/>
            <w:rFonts w:eastAsia="Calibri"/>
            <w:bCs/>
            <w:i/>
            <w:iCs/>
            <w:color w:val="auto"/>
            <w:u w:val="none"/>
          </w:rPr>
          <w:t xml:space="preserve">(1) </w:t>
        </w:r>
        <w:proofErr w:type="gramStart"/>
        <w:r w:rsidR="001362B5" w:rsidRPr="00D063A9">
          <w:rPr>
            <w:rStyle w:val="Hyperlink"/>
            <w:rFonts w:eastAsia="Calibri"/>
            <w:bCs/>
            <w:i/>
            <w:iCs/>
            <w:color w:val="auto"/>
            <w:u w:val="none"/>
          </w:rPr>
          <w:t>lit</w:t>
        </w:r>
        <w:proofErr w:type="gramEnd"/>
        <w:r w:rsidR="001362B5" w:rsidRPr="00D063A9">
          <w:rPr>
            <w:rStyle w:val="Hyperlink"/>
            <w:rFonts w:eastAsia="Calibri"/>
            <w:bCs/>
            <w:i/>
            <w:iCs/>
            <w:color w:val="auto"/>
            <w:u w:val="none"/>
          </w:rPr>
          <w:t xml:space="preserve">. a) </w:t>
        </w:r>
        <w:proofErr w:type="gramStart"/>
        <w:r w:rsidR="001362B5" w:rsidRPr="00D063A9">
          <w:rPr>
            <w:rStyle w:val="Hyperlink"/>
            <w:rFonts w:eastAsia="Calibri"/>
            <w:bCs/>
            <w:i/>
            <w:iCs/>
            <w:color w:val="auto"/>
            <w:u w:val="none"/>
          </w:rPr>
          <w:t>din</w:t>
        </w:r>
        <w:proofErr w:type="gramEnd"/>
        <w:r w:rsidR="001362B5" w:rsidRPr="00D063A9">
          <w:rPr>
            <w:rStyle w:val="Hyperlink"/>
            <w:rFonts w:eastAsia="Calibri"/>
            <w:bCs/>
            <w:i/>
            <w:iCs/>
            <w:color w:val="auto"/>
            <w:u w:val="none"/>
          </w:rPr>
          <w:t xml:space="preserve"> </w:t>
        </w:r>
        <w:proofErr w:type="spellStart"/>
        <w:r w:rsidR="001362B5" w:rsidRPr="00D063A9">
          <w:rPr>
            <w:rStyle w:val="Hyperlink"/>
            <w:rFonts w:eastAsia="Calibri"/>
            <w:bCs/>
            <w:i/>
            <w:iCs/>
            <w:color w:val="auto"/>
            <w:u w:val="none"/>
          </w:rPr>
          <w:t>Legea</w:t>
        </w:r>
        <w:proofErr w:type="spellEnd"/>
        <w:r w:rsidR="001362B5" w:rsidRPr="00D063A9">
          <w:rPr>
            <w:rStyle w:val="Hyperlink"/>
            <w:rFonts w:eastAsia="Calibri"/>
            <w:bCs/>
            <w:i/>
            <w:iCs/>
            <w:color w:val="auto"/>
            <w:u w:val="none"/>
          </w:rPr>
          <w:t xml:space="preserve"> </w:t>
        </w:r>
        <w:proofErr w:type="spellStart"/>
        <w:r w:rsidR="001362B5" w:rsidRPr="00D063A9">
          <w:rPr>
            <w:rStyle w:val="Hyperlink"/>
            <w:rFonts w:eastAsia="Calibri"/>
            <w:bCs/>
            <w:i/>
            <w:iCs/>
            <w:color w:val="auto"/>
            <w:u w:val="none"/>
          </w:rPr>
          <w:t>nr</w:t>
        </w:r>
        <w:proofErr w:type="spellEnd"/>
        <w:r w:rsidR="001362B5" w:rsidRPr="00D063A9">
          <w:rPr>
            <w:rStyle w:val="Hyperlink"/>
            <w:rFonts w:eastAsia="Calibri"/>
            <w:bCs/>
            <w:i/>
            <w:iCs/>
            <w:color w:val="auto"/>
            <w:u w:val="none"/>
          </w:rPr>
          <w:t>. 99/2016</w:t>
        </w:r>
      </w:hyperlink>
      <w:r w:rsidR="001362B5" w:rsidRPr="00D063A9">
        <w:rPr>
          <w:rFonts w:eastAsia="Calibri"/>
          <w:bCs/>
          <w:i/>
          <w:iCs/>
        </w:rPr>
        <w:t xml:space="preserve">, cu </w:t>
      </w:r>
      <w:proofErr w:type="spellStart"/>
      <w:r w:rsidR="001362B5" w:rsidRPr="00D063A9">
        <w:rPr>
          <w:rFonts w:eastAsia="Calibri"/>
          <w:bCs/>
          <w:i/>
          <w:iCs/>
        </w:rPr>
        <w:t>modificările</w:t>
      </w:r>
      <w:proofErr w:type="spellEnd"/>
      <w:r w:rsidR="001362B5" w:rsidRPr="00D063A9">
        <w:rPr>
          <w:rFonts w:eastAsia="Calibri"/>
          <w:bCs/>
          <w:i/>
          <w:iCs/>
        </w:rPr>
        <w:t xml:space="preserve"> </w:t>
      </w:r>
      <w:proofErr w:type="spellStart"/>
      <w:r w:rsidR="001362B5" w:rsidRPr="00D063A9">
        <w:rPr>
          <w:rFonts w:eastAsia="Calibri"/>
          <w:bCs/>
          <w:i/>
          <w:iCs/>
        </w:rPr>
        <w:t>şi</w:t>
      </w:r>
      <w:proofErr w:type="spellEnd"/>
      <w:r w:rsidR="001362B5" w:rsidRPr="00D063A9">
        <w:rPr>
          <w:rFonts w:eastAsia="Calibri"/>
          <w:bCs/>
          <w:i/>
          <w:iCs/>
        </w:rPr>
        <w:t xml:space="preserve"> </w:t>
      </w:r>
      <w:proofErr w:type="spellStart"/>
      <w:r w:rsidR="001362B5" w:rsidRPr="00D063A9">
        <w:rPr>
          <w:rFonts w:eastAsia="Calibri"/>
          <w:bCs/>
          <w:i/>
          <w:iCs/>
        </w:rPr>
        <w:t>completările</w:t>
      </w:r>
      <w:proofErr w:type="spellEnd"/>
      <w:r w:rsidR="001362B5" w:rsidRPr="00D063A9">
        <w:rPr>
          <w:rFonts w:eastAsia="Calibri"/>
          <w:bCs/>
          <w:i/>
          <w:iCs/>
        </w:rPr>
        <w:t xml:space="preserve"> </w:t>
      </w:r>
      <w:proofErr w:type="spellStart"/>
      <w:r w:rsidR="001362B5" w:rsidRPr="00D063A9">
        <w:rPr>
          <w:rFonts w:eastAsia="Calibri"/>
          <w:bCs/>
          <w:i/>
          <w:iCs/>
        </w:rPr>
        <w:t>ulterioare</w:t>
      </w:r>
      <w:proofErr w:type="spellEnd"/>
      <w:r w:rsidR="009A5BBE" w:rsidRPr="00D063A9">
        <w:rPr>
          <w:rFonts w:eastAsia="Calibri"/>
          <w:bCs/>
          <w:i/>
          <w:iCs/>
        </w:rPr>
        <w:t>;</w:t>
      </w:r>
    </w:p>
    <w:p w14:paraId="0E4A0D8B" w14:textId="4BE857E0" w:rsidR="009A5BBE" w:rsidRPr="00D063A9" w:rsidRDefault="009A5BBE" w:rsidP="001362B5">
      <w:pPr>
        <w:spacing w:after="160"/>
        <w:ind w:left="-142"/>
        <w:rPr>
          <w:rFonts w:eastAsia="Calibri"/>
          <w:bCs/>
          <w:i/>
          <w:iCs/>
        </w:rPr>
      </w:pPr>
      <w:r w:rsidRPr="00D063A9">
        <w:rPr>
          <w:rFonts w:eastAsia="Calibri"/>
          <w:bCs/>
          <w:i/>
          <w:iCs/>
          <w:lang w:val="fr-FR"/>
        </w:rPr>
        <w:t xml:space="preserve">c) </w:t>
      </w:r>
      <w:r w:rsidR="00E038EF" w:rsidRPr="00D063A9">
        <w:rPr>
          <w:rFonts w:eastAsia="Calibri"/>
          <w:bCs/>
          <w:i/>
          <w:iCs/>
          <w:lang w:val="fr-FR"/>
        </w:rPr>
        <w:t xml:space="preserve">contracte de </w:t>
      </w:r>
      <w:proofErr w:type="spellStart"/>
      <w:r w:rsidR="00E038EF" w:rsidRPr="00D063A9">
        <w:rPr>
          <w:rFonts w:eastAsia="Calibri"/>
          <w:bCs/>
          <w:i/>
          <w:iCs/>
          <w:lang w:val="fr-FR"/>
        </w:rPr>
        <w:t>servicii</w:t>
      </w:r>
      <w:proofErr w:type="spellEnd"/>
      <w:r w:rsidR="00E038EF" w:rsidRPr="00D063A9">
        <w:rPr>
          <w:rFonts w:eastAsia="Calibri"/>
          <w:bCs/>
          <w:i/>
          <w:iCs/>
          <w:lang w:val="fr-FR"/>
        </w:rPr>
        <w:t xml:space="preserve"> </w:t>
      </w:r>
      <w:proofErr w:type="spellStart"/>
      <w:r w:rsidR="00E038EF" w:rsidRPr="00D063A9">
        <w:rPr>
          <w:rFonts w:eastAsia="Calibri"/>
          <w:bCs/>
          <w:i/>
          <w:iCs/>
          <w:lang w:val="fr-FR"/>
        </w:rPr>
        <w:t>prevăzute</w:t>
      </w:r>
      <w:proofErr w:type="spellEnd"/>
      <w:r w:rsidR="00E038EF" w:rsidRPr="00D063A9">
        <w:rPr>
          <w:rFonts w:eastAsia="Calibri"/>
          <w:bCs/>
          <w:i/>
          <w:iCs/>
          <w:lang w:val="fr-FR"/>
        </w:rPr>
        <w:t xml:space="preserve"> </w:t>
      </w:r>
      <w:proofErr w:type="spellStart"/>
      <w:r w:rsidR="00E038EF" w:rsidRPr="00D063A9">
        <w:rPr>
          <w:rFonts w:eastAsia="Calibri"/>
          <w:bCs/>
          <w:i/>
          <w:iCs/>
          <w:lang w:val="fr-FR"/>
        </w:rPr>
        <w:t>în</w:t>
      </w:r>
      <w:proofErr w:type="spellEnd"/>
      <w:r w:rsidR="00E038EF" w:rsidRPr="00D063A9">
        <w:rPr>
          <w:rFonts w:eastAsia="Calibri"/>
          <w:bCs/>
          <w:i/>
          <w:iCs/>
          <w:lang w:val="fr-FR"/>
        </w:rPr>
        <w:t xml:space="preserve"> </w:t>
      </w:r>
      <w:proofErr w:type="spellStart"/>
      <w:r w:rsidR="00E038EF" w:rsidRPr="00D063A9">
        <w:rPr>
          <w:rFonts w:eastAsia="Calibri"/>
          <w:bCs/>
          <w:i/>
          <w:iCs/>
          <w:lang w:val="fr-FR"/>
        </w:rPr>
        <w:t>anexa</w:t>
      </w:r>
      <w:proofErr w:type="spellEnd"/>
      <w:r w:rsidR="00E038EF" w:rsidRPr="00D063A9">
        <w:rPr>
          <w:rFonts w:eastAsia="Calibri"/>
          <w:bCs/>
          <w:i/>
          <w:iCs/>
          <w:lang w:val="fr-FR"/>
        </w:rPr>
        <w:t xml:space="preserve"> nr. 1</w:t>
      </w:r>
      <w:r w:rsidR="00E038EF">
        <w:rPr>
          <w:rStyle w:val="FootnoteReference"/>
          <w:rFonts w:eastAsia="Calibri"/>
          <w:bCs/>
          <w:i/>
          <w:iCs/>
          <w:lang w:val="fr-FR"/>
        </w:rPr>
        <w:footnoteReference w:id="1"/>
      </w:r>
      <w:r w:rsidR="00E038EF" w:rsidRPr="00D063A9">
        <w:rPr>
          <w:rFonts w:eastAsia="Calibri"/>
          <w:bCs/>
          <w:iCs/>
          <w:lang w:val="fr-FR"/>
        </w:rPr>
        <w:t>,</w:t>
      </w:r>
      <w:r w:rsidR="00E038EF" w:rsidRPr="00D063A9">
        <w:rPr>
          <w:rFonts w:eastAsia="Calibri"/>
          <w:bCs/>
          <w:i/>
          <w:iCs/>
          <w:lang w:val="fr-FR"/>
        </w:rPr>
        <w:t xml:space="preserve"> </w:t>
      </w:r>
      <w:proofErr w:type="spellStart"/>
      <w:r w:rsidR="00E038EF" w:rsidRPr="00D063A9">
        <w:rPr>
          <w:rFonts w:eastAsia="Calibri"/>
          <w:bCs/>
          <w:i/>
          <w:iCs/>
          <w:lang w:val="fr-FR"/>
        </w:rPr>
        <w:t>în</w:t>
      </w:r>
      <w:proofErr w:type="spellEnd"/>
      <w:r w:rsidR="00E038EF" w:rsidRPr="00D063A9">
        <w:rPr>
          <w:rFonts w:eastAsia="Calibri"/>
          <w:bCs/>
          <w:i/>
          <w:iCs/>
          <w:lang w:val="fr-FR"/>
        </w:rPr>
        <w:t xml:space="preserve"> </w:t>
      </w:r>
      <w:proofErr w:type="spellStart"/>
      <w:r w:rsidR="00E038EF" w:rsidRPr="00D063A9">
        <w:rPr>
          <w:rFonts w:eastAsia="Calibri"/>
          <w:bCs/>
          <w:i/>
          <w:iCs/>
          <w:lang w:val="fr-FR"/>
        </w:rPr>
        <w:t>măsura</w:t>
      </w:r>
      <w:proofErr w:type="spellEnd"/>
      <w:r w:rsidR="00E038EF" w:rsidRPr="00D063A9">
        <w:rPr>
          <w:rFonts w:eastAsia="Calibri"/>
          <w:bCs/>
          <w:i/>
          <w:iCs/>
          <w:lang w:val="fr-FR"/>
        </w:rPr>
        <w:t xml:space="preserve"> </w:t>
      </w:r>
      <w:proofErr w:type="spellStart"/>
      <w:r w:rsidR="00E038EF" w:rsidRPr="00D063A9">
        <w:rPr>
          <w:rFonts w:eastAsia="Calibri"/>
          <w:bCs/>
          <w:i/>
          <w:iCs/>
          <w:lang w:val="fr-FR"/>
        </w:rPr>
        <w:t>în</w:t>
      </w:r>
      <w:proofErr w:type="spellEnd"/>
      <w:r w:rsidR="00E038EF" w:rsidRPr="00D063A9">
        <w:rPr>
          <w:rFonts w:eastAsia="Calibri"/>
          <w:bCs/>
          <w:i/>
          <w:iCs/>
          <w:lang w:val="fr-FR"/>
        </w:rPr>
        <w:t xml:space="preserve"> care </w:t>
      </w:r>
      <w:proofErr w:type="spellStart"/>
      <w:r w:rsidR="00E038EF" w:rsidRPr="00D063A9">
        <w:rPr>
          <w:rFonts w:eastAsia="Calibri"/>
          <w:bCs/>
          <w:i/>
          <w:iCs/>
          <w:lang w:val="fr-FR"/>
        </w:rPr>
        <w:t>autorităţile</w:t>
      </w:r>
      <w:proofErr w:type="spellEnd"/>
      <w:r w:rsidR="00E038EF" w:rsidRPr="00D063A9">
        <w:rPr>
          <w:rFonts w:eastAsia="Calibri"/>
          <w:bCs/>
          <w:i/>
          <w:iCs/>
          <w:lang w:val="fr-FR"/>
        </w:rPr>
        <w:t xml:space="preserve"> contractante </w:t>
      </w:r>
      <w:proofErr w:type="spellStart"/>
      <w:r w:rsidR="00E038EF" w:rsidRPr="00D063A9">
        <w:rPr>
          <w:rFonts w:eastAsia="Calibri"/>
          <w:bCs/>
          <w:i/>
          <w:iCs/>
          <w:lang w:val="fr-FR"/>
        </w:rPr>
        <w:t>sau</w:t>
      </w:r>
      <w:proofErr w:type="spellEnd"/>
      <w:r w:rsidR="00E038EF" w:rsidRPr="00D063A9">
        <w:rPr>
          <w:rFonts w:eastAsia="Calibri"/>
          <w:bCs/>
          <w:i/>
          <w:iCs/>
          <w:lang w:val="fr-FR"/>
        </w:rPr>
        <w:t xml:space="preserve"> </w:t>
      </w:r>
      <w:proofErr w:type="spellStart"/>
      <w:r w:rsidR="00E038EF" w:rsidRPr="00D063A9">
        <w:rPr>
          <w:rFonts w:eastAsia="Calibri"/>
          <w:bCs/>
          <w:i/>
          <w:iCs/>
          <w:lang w:val="fr-FR"/>
        </w:rPr>
        <w:t>entităţile</w:t>
      </w:r>
      <w:proofErr w:type="spellEnd"/>
      <w:r w:rsidR="00E038EF" w:rsidRPr="00D063A9">
        <w:rPr>
          <w:rFonts w:eastAsia="Calibri"/>
          <w:bCs/>
          <w:i/>
          <w:iCs/>
          <w:lang w:val="fr-FR"/>
        </w:rPr>
        <w:t xml:space="preserve"> contractante </w:t>
      </w:r>
      <w:proofErr w:type="spellStart"/>
      <w:r w:rsidR="00E038EF" w:rsidRPr="00D063A9">
        <w:rPr>
          <w:rFonts w:eastAsia="Calibri"/>
          <w:bCs/>
          <w:i/>
          <w:iCs/>
          <w:lang w:val="fr-FR"/>
        </w:rPr>
        <w:t>intră</w:t>
      </w:r>
      <w:proofErr w:type="spellEnd"/>
      <w:r w:rsidR="00E038EF" w:rsidRPr="00D063A9">
        <w:rPr>
          <w:rFonts w:eastAsia="Calibri"/>
          <w:bCs/>
          <w:i/>
          <w:iCs/>
          <w:lang w:val="fr-FR"/>
        </w:rPr>
        <w:t xml:space="preserve"> </w:t>
      </w:r>
      <w:proofErr w:type="spellStart"/>
      <w:r w:rsidR="00E038EF" w:rsidRPr="00D063A9">
        <w:rPr>
          <w:rFonts w:eastAsia="Calibri"/>
          <w:bCs/>
          <w:i/>
          <w:iCs/>
          <w:lang w:val="fr-FR"/>
        </w:rPr>
        <w:t>sub</w:t>
      </w:r>
      <w:proofErr w:type="spellEnd"/>
      <w:r w:rsidR="00E038EF" w:rsidRPr="00D063A9">
        <w:rPr>
          <w:rFonts w:eastAsia="Calibri"/>
          <w:bCs/>
          <w:i/>
          <w:iCs/>
          <w:lang w:val="fr-FR"/>
        </w:rPr>
        <w:t xml:space="preserve"> </w:t>
      </w:r>
      <w:proofErr w:type="spellStart"/>
      <w:r w:rsidR="00E038EF" w:rsidRPr="00D063A9">
        <w:rPr>
          <w:rFonts w:eastAsia="Calibri"/>
          <w:bCs/>
          <w:i/>
          <w:iCs/>
          <w:lang w:val="fr-FR"/>
        </w:rPr>
        <w:t>incidenţa</w:t>
      </w:r>
      <w:proofErr w:type="spellEnd"/>
      <w:r w:rsidR="00E038EF" w:rsidRPr="00D063A9">
        <w:rPr>
          <w:rFonts w:eastAsia="Calibri"/>
          <w:bCs/>
          <w:i/>
          <w:iCs/>
          <w:lang w:val="fr-FR"/>
        </w:rPr>
        <w:t xml:space="preserve"> </w:t>
      </w:r>
      <w:proofErr w:type="spellStart"/>
      <w:r w:rsidR="00E038EF" w:rsidRPr="00D063A9">
        <w:rPr>
          <w:rFonts w:eastAsia="Calibri"/>
          <w:bCs/>
          <w:i/>
          <w:iCs/>
          <w:lang w:val="fr-FR"/>
        </w:rPr>
        <w:t>obligaţiei</w:t>
      </w:r>
      <w:proofErr w:type="spellEnd"/>
      <w:r w:rsidR="00E038EF" w:rsidRPr="00D063A9">
        <w:rPr>
          <w:rFonts w:eastAsia="Calibri"/>
          <w:bCs/>
          <w:i/>
          <w:iCs/>
          <w:lang w:val="fr-FR"/>
        </w:rPr>
        <w:t xml:space="preserve"> de a </w:t>
      </w:r>
      <w:proofErr w:type="spellStart"/>
      <w:r w:rsidR="00E038EF" w:rsidRPr="00D063A9">
        <w:rPr>
          <w:rFonts w:eastAsia="Calibri"/>
          <w:bCs/>
          <w:i/>
          <w:iCs/>
          <w:lang w:val="fr-FR"/>
        </w:rPr>
        <w:t>aplica</w:t>
      </w:r>
      <w:proofErr w:type="spellEnd"/>
      <w:r w:rsidR="00E038EF" w:rsidRPr="00D063A9">
        <w:rPr>
          <w:rFonts w:eastAsia="Calibri"/>
          <w:bCs/>
          <w:i/>
          <w:iCs/>
          <w:lang w:val="fr-FR"/>
        </w:rPr>
        <w:t xml:space="preserve"> </w:t>
      </w:r>
      <w:proofErr w:type="spellStart"/>
      <w:r w:rsidR="00E038EF" w:rsidRPr="00D063A9">
        <w:rPr>
          <w:rFonts w:eastAsia="Calibri"/>
          <w:bCs/>
          <w:i/>
          <w:iCs/>
          <w:lang w:val="fr-FR"/>
        </w:rPr>
        <w:t>procedurile</w:t>
      </w:r>
      <w:proofErr w:type="spellEnd"/>
      <w:r w:rsidR="00E038EF" w:rsidRPr="00D063A9">
        <w:rPr>
          <w:rFonts w:eastAsia="Calibri"/>
          <w:bCs/>
          <w:i/>
          <w:iCs/>
          <w:lang w:val="fr-FR"/>
        </w:rPr>
        <w:t xml:space="preserve"> de </w:t>
      </w:r>
      <w:proofErr w:type="spellStart"/>
      <w:r w:rsidR="00E038EF" w:rsidRPr="00D063A9">
        <w:rPr>
          <w:rFonts w:eastAsia="Calibri"/>
          <w:bCs/>
          <w:i/>
          <w:iCs/>
          <w:lang w:val="fr-FR"/>
        </w:rPr>
        <w:t>atribuire</w:t>
      </w:r>
      <w:proofErr w:type="spellEnd"/>
      <w:r w:rsidR="00E038EF" w:rsidRPr="00D063A9">
        <w:rPr>
          <w:rFonts w:eastAsia="Calibri"/>
          <w:bCs/>
          <w:i/>
          <w:iCs/>
          <w:lang w:val="fr-FR"/>
        </w:rPr>
        <w:t xml:space="preserve"> </w:t>
      </w:r>
      <w:proofErr w:type="spellStart"/>
      <w:r w:rsidR="00E038EF" w:rsidRPr="00D063A9">
        <w:rPr>
          <w:rFonts w:eastAsia="Calibri"/>
          <w:bCs/>
          <w:i/>
          <w:iCs/>
          <w:lang w:val="fr-FR"/>
        </w:rPr>
        <w:t>prevăzute</w:t>
      </w:r>
      <w:proofErr w:type="spellEnd"/>
      <w:r w:rsidR="00E038EF" w:rsidRPr="00D063A9">
        <w:rPr>
          <w:rFonts w:eastAsia="Calibri"/>
          <w:bCs/>
          <w:i/>
          <w:iCs/>
          <w:lang w:val="fr-FR"/>
        </w:rPr>
        <w:t xml:space="preserve"> </w:t>
      </w:r>
      <w:proofErr w:type="gramStart"/>
      <w:r w:rsidR="00E038EF" w:rsidRPr="00D063A9">
        <w:rPr>
          <w:rFonts w:eastAsia="Calibri"/>
          <w:bCs/>
          <w:i/>
          <w:iCs/>
          <w:lang w:val="fr-FR"/>
        </w:rPr>
        <w:t>la</w:t>
      </w:r>
      <w:proofErr w:type="gramEnd"/>
      <w:r w:rsidR="00E038EF" w:rsidRPr="00D063A9">
        <w:rPr>
          <w:rFonts w:eastAsia="Calibri"/>
          <w:bCs/>
          <w:i/>
          <w:iCs/>
          <w:lang w:val="fr-FR"/>
        </w:rPr>
        <w:t xml:space="preserve"> art. 68 </w:t>
      </w:r>
      <w:proofErr w:type="spellStart"/>
      <w:r w:rsidR="00E038EF" w:rsidRPr="00D063A9">
        <w:rPr>
          <w:rFonts w:eastAsia="Calibri"/>
          <w:bCs/>
          <w:i/>
          <w:iCs/>
          <w:lang w:val="fr-FR"/>
        </w:rPr>
        <w:t>alin</w:t>
      </w:r>
      <w:proofErr w:type="spellEnd"/>
      <w:r w:rsidR="00E038EF" w:rsidRPr="00D063A9">
        <w:rPr>
          <w:rFonts w:eastAsia="Calibri"/>
          <w:bCs/>
          <w:i/>
          <w:iCs/>
          <w:lang w:val="fr-FR"/>
        </w:rPr>
        <w:t xml:space="preserve">. </w:t>
      </w:r>
      <w:r w:rsidR="00E038EF" w:rsidRPr="00E038EF">
        <w:rPr>
          <w:rFonts w:eastAsia="Calibri"/>
          <w:bCs/>
          <w:i/>
          <w:iCs/>
        </w:rPr>
        <w:t xml:space="preserve">(1) </w:t>
      </w:r>
      <w:proofErr w:type="gramStart"/>
      <w:r w:rsidR="00E038EF" w:rsidRPr="00E038EF">
        <w:rPr>
          <w:rFonts w:eastAsia="Calibri"/>
          <w:bCs/>
          <w:i/>
          <w:iCs/>
        </w:rPr>
        <w:t>lit</w:t>
      </w:r>
      <w:proofErr w:type="gramEnd"/>
      <w:r w:rsidR="00E038EF" w:rsidRPr="00E038EF">
        <w:rPr>
          <w:rFonts w:eastAsia="Calibri"/>
          <w:bCs/>
          <w:i/>
          <w:iCs/>
        </w:rPr>
        <w:t xml:space="preserve">. </w:t>
      </w:r>
      <w:proofErr w:type="gramStart"/>
      <w:r w:rsidR="00E038EF" w:rsidRPr="00E038EF">
        <w:rPr>
          <w:rFonts w:eastAsia="Calibri"/>
          <w:bCs/>
          <w:i/>
          <w:iCs/>
        </w:rPr>
        <w:t>a</w:t>
      </w:r>
      <w:proofErr w:type="gramEnd"/>
      <w:r w:rsidR="00E038EF" w:rsidRPr="00E038EF">
        <w:rPr>
          <w:rFonts w:eastAsia="Calibri"/>
          <w:bCs/>
          <w:i/>
          <w:iCs/>
        </w:rPr>
        <w:t xml:space="preserve">)-g) din </w:t>
      </w:r>
      <w:proofErr w:type="spellStart"/>
      <w:r w:rsidR="00E038EF" w:rsidRPr="00E038EF">
        <w:rPr>
          <w:rFonts w:eastAsia="Calibri"/>
          <w:bCs/>
          <w:i/>
          <w:iCs/>
        </w:rPr>
        <w:t>Legea</w:t>
      </w:r>
      <w:proofErr w:type="spellEnd"/>
      <w:r w:rsidR="00E038EF" w:rsidRPr="00E038EF">
        <w:rPr>
          <w:rFonts w:eastAsia="Calibri"/>
          <w:bCs/>
          <w:i/>
          <w:iCs/>
        </w:rPr>
        <w:t xml:space="preserve"> </w:t>
      </w:r>
      <w:proofErr w:type="spellStart"/>
      <w:r w:rsidR="00E038EF" w:rsidRPr="00E038EF">
        <w:rPr>
          <w:rFonts w:eastAsia="Calibri"/>
          <w:bCs/>
          <w:i/>
          <w:iCs/>
        </w:rPr>
        <w:t>nr</w:t>
      </w:r>
      <w:proofErr w:type="spellEnd"/>
      <w:r w:rsidR="00E038EF" w:rsidRPr="00E038EF">
        <w:rPr>
          <w:rFonts w:eastAsia="Calibri"/>
          <w:bCs/>
          <w:i/>
          <w:iCs/>
        </w:rPr>
        <w:t xml:space="preserve">. 98/2016, cu </w:t>
      </w:r>
      <w:proofErr w:type="spellStart"/>
      <w:r w:rsidR="00E038EF" w:rsidRPr="00E038EF">
        <w:rPr>
          <w:rFonts w:eastAsia="Calibri"/>
          <w:bCs/>
          <w:i/>
          <w:iCs/>
        </w:rPr>
        <w:t>modificările</w:t>
      </w:r>
      <w:proofErr w:type="spellEnd"/>
      <w:r w:rsidR="00E038EF" w:rsidRPr="00E038EF">
        <w:rPr>
          <w:rFonts w:eastAsia="Calibri"/>
          <w:bCs/>
          <w:i/>
          <w:iCs/>
        </w:rPr>
        <w:t xml:space="preserve"> </w:t>
      </w:r>
      <w:proofErr w:type="spellStart"/>
      <w:r w:rsidR="00E038EF" w:rsidRPr="00E038EF">
        <w:rPr>
          <w:rFonts w:eastAsia="Calibri"/>
          <w:bCs/>
          <w:i/>
          <w:iCs/>
        </w:rPr>
        <w:t>şi</w:t>
      </w:r>
      <w:proofErr w:type="spellEnd"/>
      <w:r w:rsidR="00E038EF" w:rsidRPr="00E038EF">
        <w:rPr>
          <w:rFonts w:eastAsia="Calibri"/>
          <w:bCs/>
          <w:i/>
          <w:iCs/>
        </w:rPr>
        <w:t xml:space="preserve"> </w:t>
      </w:r>
      <w:proofErr w:type="spellStart"/>
      <w:r w:rsidR="00E038EF" w:rsidRPr="00E038EF">
        <w:rPr>
          <w:rFonts w:eastAsia="Calibri"/>
          <w:bCs/>
          <w:i/>
          <w:iCs/>
        </w:rPr>
        <w:t>completările</w:t>
      </w:r>
      <w:proofErr w:type="spellEnd"/>
      <w:r w:rsidR="00E038EF" w:rsidRPr="00E038EF">
        <w:rPr>
          <w:rFonts w:eastAsia="Calibri"/>
          <w:bCs/>
          <w:i/>
          <w:iCs/>
        </w:rPr>
        <w:t xml:space="preserve"> </w:t>
      </w:r>
      <w:proofErr w:type="spellStart"/>
      <w:r w:rsidR="00E038EF" w:rsidRPr="00E038EF">
        <w:rPr>
          <w:rFonts w:eastAsia="Calibri"/>
          <w:bCs/>
          <w:i/>
          <w:iCs/>
        </w:rPr>
        <w:t>ulterioare</w:t>
      </w:r>
      <w:proofErr w:type="spellEnd"/>
      <w:r w:rsidR="00E038EF" w:rsidRPr="00E038EF">
        <w:rPr>
          <w:rFonts w:eastAsia="Calibri"/>
          <w:bCs/>
          <w:i/>
          <w:iCs/>
        </w:rPr>
        <w:t xml:space="preserve">, </w:t>
      </w:r>
      <w:proofErr w:type="spellStart"/>
      <w:r w:rsidR="00E038EF" w:rsidRPr="00E038EF">
        <w:rPr>
          <w:rFonts w:eastAsia="Calibri"/>
          <w:bCs/>
          <w:i/>
          <w:iCs/>
        </w:rPr>
        <w:t>respectiv</w:t>
      </w:r>
      <w:proofErr w:type="spellEnd"/>
      <w:r w:rsidR="00E038EF" w:rsidRPr="00E038EF">
        <w:rPr>
          <w:rFonts w:eastAsia="Calibri"/>
          <w:bCs/>
          <w:i/>
          <w:iCs/>
        </w:rPr>
        <w:t xml:space="preserve"> la art. 82 </w:t>
      </w:r>
      <w:proofErr w:type="spellStart"/>
      <w:r w:rsidR="00E038EF" w:rsidRPr="00E038EF">
        <w:rPr>
          <w:rFonts w:eastAsia="Calibri"/>
          <w:bCs/>
          <w:i/>
          <w:iCs/>
        </w:rPr>
        <w:t>alin</w:t>
      </w:r>
      <w:proofErr w:type="spellEnd"/>
      <w:r w:rsidR="00E038EF" w:rsidRPr="00E038EF">
        <w:rPr>
          <w:rFonts w:eastAsia="Calibri"/>
          <w:bCs/>
          <w:i/>
          <w:iCs/>
        </w:rPr>
        <w:t xml:space="preserve">. (1) </w:t>
      </w:r>
      <w:proofErr w:type="gramStart"/>
      <w:r w:rsidR="00E038EF" w:rsidRPr="00E038EF">
        <w:rPr>
          <w:rFonts w:eastAsia="Calibri"/>
          <w:bCs/>
          <w:i/>
          <w:iCs/>
        </w:rPr>
        <w:t>lit</w:t>
      </w:r>
      <w:proofErr w:type="gramEnd"/>
      <w:r w:rsidR="00E038EF" w:rsidRPr="00E038EF">
        <w:rPr>
          <w:rFonts w:eastAsia="Calibri"/>
          <w:bCs/>
          <w:i/>
          <w:iCs/>
        </w:rPr>
        <w:t xml:space="preserve">. </w:t>
      </w:r>
      <w:proofErr w:type="gramStart"/>
      <w:r w:rsidR="00E038EF" w:rsidRPr="00E038EF">
        <w:rPr>
          <w:rFonts w:eastAsia="Calibri"/>
          <w:bCs/>
          <w:i/>
          <w:iCs/>
        </w:rPr>
        <w:t>a</w:t>
      </w:r>
      <w:proofErr w:type="gramEnd"/>
      <w:r w:rsidR="00E038EF" w:rsidRPr="00E038EF">
        <w:rPr>
          <w:rFonts w:eastAsia="Calibri"/>
          <w:bCs/>
          <w:i/>
          <w:iCs/>
        </w:rPr>
        <w:t xml:space="preserve">)-g) din </w:t>
      </w:r>
      <w:proofErr w:type="spellStart"/>
      <w:r w:rsidR="00E038EF" w:rsidRPr="00E038EF">
        <w:rPr>
          <w:rFonts w:eastAsia="Calibri"/>
          <w:bCs/>
          <w:i/>
          <w:iCs/>
        </w:rPr>
        <w:t>Legea</w:t>
      </w:r>
      <w:proofErr w:type="spellEnd"/>
      <w:r w:rsidR="00E038EF" w:rsidRPr="00E038EF">
        <w:rPr>
          <w:rFonts w:eastAsia="Calibri"/>
          <w:bCs/>
          <w:i/>
          <w:iCs/>
        </w:rPr>
        <w:t xml:space="preserve"> </w:t>
      </w:r>
      <w:proofErr w:type="spellStart"/>
      <w:r w:rsidR="00E038EF" w:rsidRPr="00E038EF">
        <w:rPr>
          <w:rFonts w:eastAsia="Calibri"/>
          <w:bCs/>
          <w:i/>
          <w:iCs/>
        </w:rPr>
        <w:t>nr</w:t>
      </w:r>
      <w:proofErr w:type="spellEnd"/>
      <w:r w:rsidR="00E038EF" w:rsidRPr="00E038EF">
        <w:rPr>
          <w:rFonts w:eastAsia="Calibri"/>
          <w:bCs/>
          <w:i/>
          <w:iCs/>
        </w:rPr>
        <w:t xml:space="preserve">. 99/2016, cu </w:t>
      </w:r>
      <w:proofErr w:type="spellStart"/>
      <w:r w:rsidR="00E038EF" w:rsidRPr="00E038EF">
        <w:rPr>
          <w:rFonts w:eastAsia="Calibri"/>
          <w:bCs/>
          <w:i/>
          <w:iCs/>
        </w:rPr>
        <w:t>modificările</w:t>
      </w:r>
      <w:proofErr w:type="spellEnd"/>
      <w:r w:rsidR="00E038EF" w:rsidRPr="00E038EF">
        <w:rPr>
          <w:rFonts w:eastAsia="Calibri"/>
          <w:bCs/>
          <w:i/>
          <w:iCs/>
        </w:rPr>
        <w:t xml:space="preserve"> </w:t>
      </w:r>
      <w:proofErr w:type="spellStart"/>
      <w:r w:rsidR="00E038EF" w:rsidRPr="00E038EF">
        <w:rPr>
          <w:rFonts w:eastAsia="Calibri"/>
          <w:bCs/>
          <w:i/>
          <w:iCs/>
        </w:rPr>
        <w:t>şi</w:t>
      </w:r>
      <w:proofErr w:type="spellEnd"/>
      <w:r w:rsidR="00E038EF" w:rsidRPr="00E038EF">
        <w:rPr>
          <w:rFonts w:eastAsia="Calibri"/>
          <w:bCs/>
          <w:i/>
          <w:iCs/>
        </w:rPr>
        <w:t xml:space="preserve"> </w:t>
      </w:r>
      <w:proofErr w:type="spellStart"/>
      <w:r w:rsidR="00E038EF" w:rsidRPr="00E038EF">
        <w:rPr>
          <w:rFonts w:eastAsia="Calibri"/>
          <w:bCs/>
          <w:i/>
          <w:iCs/>
        </w:rPr>
        <w:t>completările</w:t>
      </w:r>
      <w:proofErr w:type="spellEnd"/>
      <w:r w:rsidR="00E038EF" w:rsidRPr="00E038EF">
        <w:rPr>
          <w:rFonts w:eastAsia="Calibri"/>
          <w:bCs/>
          <w:i/>
          <w:iCs/>
        </w:rPr>
        <w:t xml:space="preserve"> </w:t>
      </w:r>
      <w:proofErr w:type="spellStart"/>
      <w:r w:rsidR="00E038EF" w:rsidRPr="00E038EF">
        <w:rPr>
          <w:rFonts w:eastAsia="Calibri"/>
          <w:bCs/>
          <w:i/>
          <w:iCs/>
        </w:rPr>
        <w:t>ulterioare</w:t>
      </w:r>
      <w:proofErr w:type="spellEnd"/>
      <w:r w:rsidR="00E25966">
        <w:rPr>
          <w:rFonts w:eastAsia="Calibri"/>
          <w:bCs/>
          <w:i/>
          <w:iCs/>
        </w:rPr>
        <w:t>”,</w:t>
      </w:r>
    </w:p>
    <w:p w14:paraId="1E32D906" w14:textId="31B905A0" w:rsidR="00555D82" w:rsidRPr="00D063A9" w:rsidRDefault="001C18AC" w:rsidP="008271AE">
      <w:pPr>
        <w:spacing w:after="160"/>
        <w:ind w:left="-142"/>
        <w:rPr>
          <w:rFonts w:eastAsia="Calibri"/>
          <w:b/>
          <w:bCs/>
          <w:iCs/>
          <w:lang w:val="ro-RO"/>
        </w:rPr>
      </w:pPr>
      <w:r w:rsidRPr="0021313C">
        <w:rPr>
          <w:rFonts w:eastAsia="Calibri"/>
          <w:b/>
          <w:bCs/>
          <w:iCs/>
          <w:lang w:val="ro-RO"/>
        </w:rPr>
        <w:t>autorită</w:t>
      </w:r>
      <w:r w:rsidR="008271AE" w:rsidRPr="0021313C">
        <w:rPr>
          <w:rFonts w:eastAsia="Calibri"/>
          <w:b/>
          <w:bCs/>
          <w:iCs/>
          <w:lang w:val="ro-RO"/>
        </w:rPr>
        <w:t>țile contractante și entitățile contractante</w:t>
      </w:r>
      <w:r w:rsidR="00555D82" w:rsidRPr="0021313C">
        <w:rPr>
          <w:rFonts w:eastAsia="Calibri"/>
          <w:b/>
          <w:bCs/>
          <w:iCs/>
          <w:lang w:val="ro-RO"/>
        </w:rPr>
        <w:t xml:space="preserve"> </w:t>
      </w:r>
      <w:r w:rsidRPr="0021313C">
        <w:rPr>
          <w:rFonts w:eastAsia="Calibri"/>
          <w:b/>
          <w:bCs/>
          <w:iCs/>
          <w:lang w:val="ro-RO"/>
        </w:rPr>
        <w:t xml:space="preserve">au </w:t>
      </w:r>
      <w:r w:rsidR="00555D82" w:rsidRPr="0021313C">
        <w:rPr>
          <w:rFonts w:eastAsia="Calibri"/>
          <w:b/>
          <w:bCs/>
          <w:iCs/>
          <w:lang w:val="ro-RO"/>
        </w:rPr>
        <w:t>obligația de a respecta</w:t>
      </w:r>
      <w:r w:rsidR="008271AE" w:rsidRPr="0021313C">
        <w:rPr>
          <w:rFonts w:eastAsia="Calibri"/>
          <w:b/>
          <w:bCs/>
          <w:iCs/>
          <w:lang w:val="ro-RO"/>
        </w:rPr>
        <w:t xml:space="preserve"> ținte</w:t>
      </w:r>
      <w:r w:rsidR="00555D82" w:rsidRPr="0021313C">
        <w:rPr>
          <w:rFonts w:eastAsia="Calibri"/>
          <w:b/>
          <w:bCs/>
          <w:iCs/>
          <w:lang w:val="ro-RO"/>
        </w:rPr>
        <w:t>le</w:t>
      </w:r>
      <w:r w:rsidR="00555D82" w:rsidRPr="00D063A9">
        <w:rPr>
          <w:b/>
          <w:lang w:val="ro-RO"/>
        </w:rPr>
        <w:t xml:space="preserve"> minime prevăzute la art.</w:t>
      </w:r>
      <w:r w:rsidR="008758BB" w:rsidRPr="00D063A9">
        <w:rPr>
          <w:b/>
          <w:lang w:val="ro-RO"/>
        </w:rPr>
        <w:t xml:space="preserve"> </w:t>
      </w:r>
      <w:r w:rsidR="00555D82" w:rsidRPr="00D063A9">
        <w:rPr>
          <w:b/>
          <w:lang w:val="ro-RO"/>
        </w:rPr>
        <w:t>4 alin.</w:t>
      </w:r>
      <w:r w:rsidR="008758BB" w:rsidRPr="00D063A9">
        <w:rPr>
          <w:b/>
          <w:lang w:val="ro-RO"/>
        </w:rPr>
        <w:t xml:space="preserve"> </w:t>
      </w:r>
      <w:r w:rsidR="00555D82" w:rsidRPr="00D063A9">
        <w:rPr>
          <w:b/>
          <w:lang w:val="ro-RO"/>
        </w:rPr>
        <w:t>(1), lit. a)–f)</w:t>
      </w:r>
      <w:r w:rsidR="00DF4009" w:rsidRPr="00D063A9">
        <w:rPr>
          <w:b/>
          <w:lang w:val="ro-RO"/>
        </w:rPr>
        <w:t xml:space="preserve"> din</w:t>
      </w:r>
      <w:r w:rsidR="008758BB" w:rsidRPr="00D063A9">
        <w:rPr>
          <w:rFonts w:eastAsia="Calibri"/>
          <w:b/>
          <w:bCs/>
          <w:iCs/>
          <w:lang w:val="ro-RO"/>
        </w:rPr>
        <w:t xml:space="preserve"> </w:t>
      </w:r>
      <w:r w:rsidR="008758BB" w:rsidRPr="00D063A9">
        <w:rPr>
          <w:b/>
          <w:bCs/>
          <w:iCs/>
          <w:lang w:val="ro-RO"/>
        </w:rPr>
        <w:t>OUG nr. 71/2021</w:t>
      </w:r>
      <w:r w:rsidR="00555D82" w:rsidRPr="00D063A9">
        <w:rPr>
          <w:b/>
          <w:lang w:val="ro-RO"/>
        </w:rPr>
        <w:t xml:space="preserve">. </w:t>
      </w:r>
    </w:p>
    <w:p w14:paraId="388DB9FF" w14:textId="23863964" w:rsidR="00AF0710" w:rsidRPr="00D063A9" w:rsidRDefault="006559A7" w:rsidP="00AF0710">
      <w:pPr>
        <w:spacing w:after="160"/>
        <w:ind w:left="-142"/>
        <w:rPr>
          <w:rFonts w:eastAsia="Calibri"/>
          <w:bCs/>
          <w:i/>
          <w:iCs/>
          <w:lang w:val="ro-RO"/>
        </w:rPr>
      </w:pPr>
      <w:r>
        <w:rPr>
          <w:rFonts w:eastAsia="Calibri"/>
          <w:bCs/>
          <w:iCs/>
          <w:lang w:val="ro-RO"/>
        </w:rPr>
        <w:t xml:space="preserve">De asemenea, în cuprinsul </w:t>
      </w:r>
      <w:r w:rsidR="00DC52BD">
        <w:rPr>
          <w:rFonts w:eastAsia="Calibri"/>
          <w:bCs/>
          <w:iCs/>
          <w:lang w:val="ro-RO"/>
        </w:rPr>
        <w:t>ordonanței de urgență,</w:t>
      </w:r>
      <w:r>
        <w:rPr>
          <w:rFonts w:eastAsia="Calibri"/>
          <w:bCs/>
          <w:iCs/>
          <w:lang w:val="ro-RO"/>
        </w:rPr>
        <w:t xml:space="preserve"> </w:t>
      </w:r>
      <w:r w:rsidR="00DC52BD">
        <w:rPr>
          <w:rFonts w:eastAsia="Calibri"/>
          <w:bCs/>
          <w:iCs/>
          <w:lang w:val="ro-RO"/>
        </w:rPr>
        <w:t xml:space="preserve">este </w:t>
      </w:r>
      <w:r w:rsidR="005A5E00">
        <w:rPr>
          <w:rFonts w:eastAsia="Calibri"/>
          <w:bCs/>
          <w:iCs/>
          <w:lang w:val="ro-RO"/>
        </w:rPr>
        <w:t>instituit</w:t>
      </w:r>
      <w:r w:rsidR="00DC52BD">
        <w:rPr>
          <w:rFonts w:eastAsia="Calibri"/>
          <w:bCs/>
          <w:iCs/>
          <w:lang w:val="ro-RO"/>
        </w:rPr>
        <w:t>ă</w:t>
      </w:r>
      <w:r w:rsidR="005A5E00">
        <w:rPr>
          <w:rFonts w:eastAsia="Calibri"/>
          <w:bCs/>
          <w:iCs/>
          <w:lang w:val="ro-RO"/>
        </w:rPr>
        <w:t xml:space="preserve"> </w:t>
      </w:r>
      <w:r w:rsidR="00DC52BD">
        <w:rPr>
          <w:rFonts w:eastAsia="Calibri"/>
          <w:bCs/>
          <w:iCs/>
          <w:lang w:val="ro-RO"/>
        </w:rPr>
        <w:t xml:space="preserve">în sarcina </w:t>
      </w:r>
      <w:r w:rsidR="005A5E00" w:rsidRPr="008758BB">
        <w:rPr>
          <w:rFonts w:eastAsia="Calibri"/>
          <w:bCs/>
          <w:iCs/>
          <w:lang w:val="ro-RO"/>
        </w:rPr>
        <w:t>Agenţi</w:t>
      </w:r>
      <w:r w:rsidR="005A5E00">
        <w:rPr>
          <w:rFonts w:eastAsia="Calibri"/>
          <w:bCs/>
          <w:iCs/>
          <w:lang w:val="ro-RO"/>
        </w:rPr>
        <w:t>ei Naţionale</w:t>
      </w:r>
      <w:r w:rsidR="005A5E00" w:rsidRPr="008758BB">
        <w:rPr>
          <w:rFonts w:eastAsia="Calibri"/>
          <w:bCs/>
          <w:iCs/>
          <w:lang w:val="ro-RO"/>
        </w:rPr>
        <w:t xml:space="preserve"> pentru Achiziţii Publice</w:t>
      </w:r>
      <w:r w:rsidRPr="008758BB">
        <w:rPr>
          <w:rFonts w:eastAsia="Calibri"/>
          <w:bCs/>
          <w:iCs/>
          <w:lang w:val="ro-RO"/>
        </w:rPr>
        <w:t xml:space="preserve"> </w:t>
      </w:r>
      <w:r w:rsidR="005A5E00">
        <w:rPr>
          <w:rFonts w:eastAsia="Calibri"/>
          <w:bCs/>
          <w:iCs/>
          <w:lang w:val="ro-RO"/>
        </w:rPr>
        <w:t>obligați</w:t>
      </w:r>
      <w:r w:rsidR="00DC52BD">
        <w:rPr>
          <w:rFonts w:eastAsia="Calibri"/>
          <w:bCs/>
          <w:iCs/>
          <w:lang w:val="ro-RO"/>
        </w:rPr>
        <w:t>a</w:t>
      </w:r>
      <w:r w:rsidR="005A5E00">
        <w:rPr>
          <w:rFonts w:eastAsia="Calibri"/>
          <w:bCs/>
          <w:iCs/>
          <w:lang w:val="ro-RO"/>
        </w:rPr>
        <w:t xml:space="preserve"> de </w:t>
      </w:r>
      <w:r>
        <w:rPr>
          <w:rFonts w:eastAsia="Calibri"/>
          <w:bCs/>
          <w:iCs/>
          <w:lang w:val="ro-RO"/>
        </w:rPr>
        <w:t xml:space="preserve">a </w:t>
      </w:r>
      <w:r w:rsidRPr="008758BB">
        <w:rPr>
          <w:rFonts w:eastAsia="Calibri"/>
          <w:bCs/>
          <w:iCs/>
          <w:lang w:val="ro-RO"/>
        </w:rPr>
        <w:t>transmite</w:t>
      </w:r>
      <w:r>
        <w:rPr>
          <w:rFonts w:eastAsia="Calibri"/>
          <w:bCs/>
          <w:iCs/>
          <w:lang w:val="ro-RO"/>
        </w:rPr>
        <w:t xml:space="preserve"> </w:t>
      </w:r>
      <w:r w:rsidRPr="008758BB">
        <w:rPr>
          <w:rFonts w:eastAsia="Calibri"/>
          <w:bCs/>
          <w:iCs/>
          <w:lang w:val="ro-RO"/>
        </w:rPr>
        <w:t>Comisiei Europene</w:t>
      </w:r>
      <w:r w:rsidR="007B2750">
        <w:rPr>
          <w:rFonts w:eastAsia="Calibri"/>
          <w:bCs/>
          <w:iCs/>
          <w:lang w:val="ro-RO"/>
        </w:rPr>
        <w:t>, din partea României,</w:t>
      </w:r>
      <w:r>
        <w:rPr>
          <w:rFonts w:eastAsia="Calibri"/>
          <w:bCs/>
          <w:iCs/>
          <w:lang w:val="ro-RO"/>
        </w:rPr>
        <w:t xml:space="preserve"> </w:t>
      </w:r>
      <w:r w:rsidR="00AF0710">
        <w:rPr>
          <w:rFonts w:eastAsia="Calibri"/>
          <w:bCs/>
          <w:iCs/>
          <w:lang w:val="ro-RO"/>
        </w:rPr>
        <w:t xml:space="preserve">rapoarte periodice </w:t>
      </w:r>
      <w:r w:rsidR="008758BB" w:rsidRPr="008758BB">
        <w:rPr>
          <w:rFonts w:eastAsia="Calibri"/>
          <w:bCs/>
          <w:iCs/>
          <w:lang w:val="ro-RO"/>
        </w:rPr>
        <w:t xml:space="preserve">privind </w:t>
      </w:r>
      <w:r w:rsidR="00AF0710" w:rsidRPr="00D063A9">
        <w:rPr>
          <w:rFonts w:eastAsia="Calibri"/>
          <w:bCs/>
          <w:i/>
          <w:iCs/>
          <w:lang w:val="ro-RO"/>
        </w:rPr>
        <w:t xml:space="preserve">„măsurile întreprinse în vederea punerii în aplicare a prevederilor prezentei ordonanţe de urgenţă, informaţii cu privire la activităţile viitoare de punere în aplicare şi orice alte informaţii considerate relevante, precum şi </w:t>
      </w:r>
      <w:r w:rsidR="00AF0710" w:rsidRPr="00D063A9">
        <w:rPr>
          <w:rFonts w:eastAsia="Calibri"/>
          <w:b/>
          <w:bCs/>
          <w:i/>
          <w:iCs/>
          <w:lang w:val="ro-RO"/>
        </w:rPr>
        <w:t xml:space="preserve">informaţii cu privire la numărul şi categoriile de vehicule care fac obiectul contractelor prevăzute la </w:t>
      </w:r>
      <w:hyperlink w:history="1">
        <w:r w:rsidR="00AF0710" w:rsidRPr="00D063A9">
          <w:rPr>
            <w:rStyle w:val="Hyperlink"/>
            <w:rFonts w:eastAsia="Calibri"/>
            <w:b/>
            <w:bCs/>
            <w:i/>
            <w:iCs/>
            <w:color w:val="auto"/>
            <w:u w:val="none"/>
            <w:lang w:val="ro-RO"/>
          </w:rPr>
          <w:t>art. 2 alin. (1)</w:t>
        </w:r>
      </w:hyperlink>
      <w:r w:rsidR="00AF0710" w:rsidRPr="00D063A9">
        <w:rPr>
          <w:rFonts w:eastAsia="Calibri"/>
          <w:bCs/>
          <w:i/>
          <w:iCs/>
          <w:lang w:val="ro-RO"/>
        </w:rPr>
        <w:t>”</w:t>
      </w:r>
      <w:r w:rsidR="004413D2">
        <w:rPr>
          <w:rFonts w:eastAsia="Calibri"/>
          <w:bCs/>
          <w:i/>
          <w:iCs/>
          <w:lang w:val="ro-RO"/>
        </w:rPr>
        <w:t>.</w:t>
      </w:r>
    </w:p>
    <w:p w14:paraId="6428C382" w14:textId="11525129" w:rsidR="008271AE" w:rsidRPr="003A38AC" w:rsidRDefault="006559A7" w:rsidP="008271AE">
      <w:pPr>
        <w:spacing w:after="160"/>
        <w:ind w:left="-142"/>
        <w:rPr>
          <w:rFonts w:eastAsia="Calibri"/>
          <w:bCs/>
          <w:iCs/>
          <w:lang w:val="ro-RO"/>
        </w:rPr>
      </w:pPr>
      <w:r>
        <w:rPr>
          <w:rFonts w:eastAsia="Calibri"/>
          <w:bCs/>
          <w:iCs/>
          <w:lang w:val="ro-RO"/>
        </w:rPr>
        <w:t>Astfel,</w:t>
      </w:r>
      <w:r w:rsidR="005F0988">
        <w:rPr>
          <w:rFonts w:eastAsia="Calibri"/>
          <w:bCs/>
          <w:iCs/>
          <w:lang w:val="ro-RO"/>
        </w:rPr>
        <w:t xml:space="preserve"> în vederea </w:t>
      </w:r>
      <w:r w:rsidR="004D3345">
        <w:rPr>
          <w:rFonts w:eastAsia="Calibri"/>
          <w:bCs/>
          <w:iCs/>
          <w:lang w:val="ro-RO"/>
        </w:rPr>
        <w:t>realizării raportărilor</w:t>
      </w:r>
      <w:r w:rsidR="00546C5D">
        <w:rPr>
          <w:rFonts w:eastAsia="Calibri"/>
          <w:bCs/>
          <w:iCs/>
          <w:lang w:val="ro-RO"/>
        </w:rPr>
        <w:t xml:space="preserve"> sus-menționate (care au rolul de a </w:t>
      </w:r>
      <w:r w:rsidR="004D3345">
        <w:rPr>
          <w:rFonts w:eastAsia="Calibri"/>
          <w:bCs/>
          <w:iCs/>
          <w:lang w:val="ro-RO"/>
        </w:rPr>
        <w:t>atesta</w:t>
      </w:r>
      <w:r w:rsidR="00546C5D">
        <w:rPr>
          <w:rFonts w:eastAsia="Calibri"/>
          <w:bCs/>
          <w:iCs/>
          <w:lang w:val="ro-RO"/>
        </w:rPr>
        <w:t xml:space="preserve"> gradul de </w:t>
      </w:r>
      <w:r w:rsidR="004D3345">
        <w:rPr>
          <w:rFonts w:eastAsia="Calibri"/>
          <w:bCs/>
          <w:iCs/>
          <w:lang w:val="ro-RO"/>
        </w:rPr>
        <w:t>îndeplinire a țintelor minime</w:t>
      </w:r>
      <w:r w:rsidR="00546C5D">
        <w:rPr>
          <w:rFonts w:eastAsia="Calibri"/>
          <w:bCs/>
          <w:iCs/>
          <w:lang w:val="ro-RO"/>
        </w:rPr>
        <w:t xml:space="preserve"> la nivel național)</w:t>
      </w:r>
      <w:r w:rsidR="008271AE" w:rsidRPr="003A38AC">
        <w:rPr>
          <w:rFonts w:eastAsia="Calibri"/>
          <w:bCs/>
          <w:iCs/>
          <w:lang w:val="ro-RO"/>
        </w:rPr>
        <w:t xml:space="preserve">, </w:t>
      </w:r>
      <w:r w:rsidR="000C63DE" w:rsidRPr="0021313C">
        <w:rPr>
          <w:rFonts w:eastAsia="Calibri"/>
          <w:b/>
          <w:bCs/>
          <w:iCs/>
          <w:lang w:val="ro-RO"/>
        </w:rPr>
        <w:t xml:space="preserve">autoritățile/entitățile </w:t>
      </w:r>
      <w:r w:rsidR="008271AE" w:rsidRPr="0021313C">
        <w:rPr>
          <w:rFonts w:eastAsia="Calibri"/>
          <w:b/>
          <w:bCs/>
          <w:iCs/>
          <w:lang w:val="ro-RO"/>
        </w:rPr>
        <w:t xml:space="preserve">contractante </w:t>
      </w:r>
      <w:r w:rsidR="00605D91">
        <w:rPr>
          <w:rFonts w:eastAsia="Calibri"/>
          <w:b/>
          <w:bCs/>
          <w:iCs/>
          <w:lang w:val="ro-RO"/>
        </w:rPr>
        <w:t xml:space="preserve">au obligația de a </w:t>
      </w:r>
      <w:r w:rsidR="008271AE" w:rsidRPr="0021313C">
        <w:rPr>
          <w:rFonts w:eastAsia="Calibri"/>
          <w:b/>
          <w:bCs/>
          <w:iCs/>
          <w:lang w:val="ro-RO"/>
        </w:rPr>
        <w:t>complet</w:t>
      </w:r>
      <w:r w:rsidR="00605D91">
        <w:rPr>
          <w:rFonts w:eastAsia="Calibri"/>
          <w:b/>
          <w:bCs/>
          <w:iCs/>
          <w:lang w:val="ro-RO"/>
        </w:rPr>
        <w:t>a</w:t>
      </w:r>
      <w:r w:rsidR="008271AE" w:rsidRPr="0021313C">
        <w:rPr>
          <w:rFonts w:eastAsia="Calibri"/>
          <w:b/>
          <w:bCs/>
          <w:iCs/>
          <w:lang w:val="ro-RO"/>
        </w:rPr>
        <w:t xml:space="preserve"> la nivelul anunțului de atribuire</w:t>
      </w:r>
      <w:r w:rsidR="008271AE" w:rsidRPr="003A38AC">
        <w:rPr>
          <w:rFonts w:eastAsia="Calibri"/>
          <w:bCs/>
          <w:iCs/>
          <w:lang w:val="ro-RO"/>
        </w:rPr>
        <w:t xml:space="preserve"> </w:t>
      </w:r>
      <w:r w:rsidR="008271AE" w:rsidRPr="00D063A9">
        <w:rPr>
          <w:rFonts w:eastAsia="Calibri"/>
          <w:b/>
          <w:bCs/>
          <w:iCs/>
          <w:lang w:val="ro-RO"/>
        </w:rPr>
        <w:t>informațiile privind numărul vehiculelor care fac obiectul fiecărui contract dintre cele prevăzute la art. 2 alin. (1),</w:t>
      </w:r>
      <w:r w:rsidR="008271AE" w:rsidRPr="003A38AC">
        <w:rPr>
          <w:rFonts w:eastAsia="Calibri"/>
          <w:bCs/>
          <w:iCs/>
          <w:lang w:val="ro-RO"/>
        </w:rPr>
        <w:t xml:space="preserve"> utilizând următoarea codificare:</w:t>
      </w:r>
    </w:p>
    <w:p w14:paraId="0AE12B78" w14:textId="7B7547D9" w:rsidR="008271AE" w:rsidRPr="003A38AC" w:rsidRDefault="00416B9D" w:rsidP="008271AE">
      <w:pPr>
        <w:spacing w:after="160"/>
        <w:ind w:left="-142"/>
        <w:rPr>
          <w:rFonts w:eastAsia="Calibri"/>
          <w:bCs/>
          <w:iCs/>
          <w:lang w:val="ro-RO"/>
        </w:rPr>
      </w:pPr>
      <w:r>
        <w:rPr>
          <w:rFonts w:eastAsia="Calibri"/>
          <w:bCs/>
          <w:iCs/>
          <w:lang w:val="ro-RO"/>
        </w:rPr>
        <w:t xml:space="preserve">a) </w:t>
      </w:r>
      <w:r w:rsidR="008271AE" w:rsidRPr="003A38AC">
        <w:rPr>
          <w:rFonts w:eastAsia="Calibri"/>
          <w:bCs/>
          <w:iCs/>
          <w:lang w:val="ro-RO"/>
        </w:rPr>
        <w:t xml:space="preserve">BT-715 Vehicule – </w:t>
      </w:r>
      <w:r w:rsidR="008271AE" w:rsidRPr="00940A55">
        <w:rPr>
          <w:rFonts w:eastAsia="Calibri"/>
          <w:b/>
          <w:bCs/>
          <w:iCs/>
          <w:lang w:val="ro-RO"/>
        </w:rPr>
        <w:t>numărul total de vehicule</w:t>
      </w:r>
      <w:r w:rsidR="008271AE" w:rsidRPr="003A38AC">
        <w:rPr>
          <w:rFonts w:eastAsia="Calibri"/>
          <w:bCs/>
          <w:iCs/>
          <w:lang w:val="ro-RO"/>
        </w:rPr>
        <w:t>, indiferent dacă sunt sau nu sunt nepoluante, care fac obiectul contractelor prevăzute la art. 2 alin. (1);</w:t>
      </w:r>
    </w:p>
    <w:p w14:paraId="7B4D5AE1" w14:textId="3B6ED88D" w:rsidR="008271AE" w:rsidRPr="003A38AC" w:rsidRDefault="00416B9D" w:rsidP="008271AE">
      <w:pPr>
        <w:spacing w:after="160"/>
        <w:ind w:left="-142"/>
        <w:rPr>
          <w:rFonts w:eastAsia="Calibri"/>
          <w:bCs/>
          <w:iCs/>
          <w:lang w:val="ro-RO"/>
        </w:rPr>
      </w:pPr>
      <w:r>
        <w:rPr>
          <w:rFonts w:eastAsia="Calibri"/>
          <w:bCs/>
          <w:iCs/>
          <w:lang w:val="ro-RO"/>
        </w:rPr>
        <w:lastRenderedPageBreak/>
        <w:t xml:space="preserve">b) </w:t>
      </w:r>
      <w:r w:rsidR="008271AE" w:rsidRPr="003A38AC">
        <w:rPr>
          <w:rFonts w:eastAsia="Calibri"/>
          <w:bCs/>
          <w:iCs/>
          <w:lang w:val="ro-RO"/>
        </w:rPr>
        <w:t xml:space="preserve">BT-716 Vehicule nepoluante – </w:t>
      </w:r>
      <w:r w:rsidR="008271AE" w:rsidRPr="00940A55">
        <w:rPr>
          <w:rFonts w:eastAsia="Calibri"/>
          <w:b/>
          <w:bCs/>
          <w:iCs/>
          <w:lang w:val="ro-RO"/>
        </w:rPr>
        <w:t>numărul de vehicule nepoluante</w:t>
      </w:r>
      <w:r w:rsidR="008271AE" w:rsidRPr="003A38AC">
        <w:rPr>
          <w:rFonts w:eastAsia="Calibri"/>
          <w:bCs/>
          <w:iCs/>
          <w:lang w:val="ro-RO"/>
        </w:rPr>
        <w:t xml:space="preserve"> care fac obiectul contractelor prevăzute la art. 2 alin. (1);</w:t>
      </w:r>
    </w:p>
    <w:p w14:paraId="2B821287" w14:textId="27D8AD9E" w:rsidR="000C63DE" w:rsidRDefault="00416B9D" w:rsidP="00940A55">
      <w:pPr>
        <w:spacing w:after="160"/>
        <w:ind w:left="-142"/>
        <w:rPr>
          <w:rFonts w:eastAsia="Calibri"/>
          <w:bCs/>
          <w:iCs/>
          <w:lang w:val="ro-RO"/>
        </w:rPr>
      </w:pPr>
      <w:r>
        <w:rPr>
          <w:rFonts w:eastAsia="Calibri"/>
          <w:bCs/>
          <w:iCs/>
          <w:lang w:val="ro-RO"/>
        </w:rPr>
        <w:t xml:space="preserve">c) </w:t>
      </w:r>
      <w:r w:rsidR="008271AE" w:rsidRPr="003A38AC">
        <w:rPr>
          <w:rFonts w:eastAsia="Calibri"/>
          <w:bCs/>
          <w:iCs/>
          <w:lang w:val="ro-RO"/>
        </w:rPr>
        <w:t xml:space="preserve">BT-725 Vehicule grele cu emisii zero - </w:t>
      </w:r>
      <w:r w:rsidR="008271AE" w:rsidRPr="00940A55">
        <w:rPr>
          <w:rFonts w:eastAsia="Calibri"/>
          <w:b/>
          <w:bCs/>
          <w:iCs/>
          <w:lang w:val="ro-RO"/>
        </w:rPr>
        <w:t>numărul de vehicule grele cu emisii zero</w:t>
      </w:r>
      <w:r w:rsidR="008271AE" w:rsidRPr="003A38AC">
        <w:rPr>
          <w:rFonts w:eastAsia="Calibri"/>
          <w:bCs/>
          <w:iCs/>
          <w:lang w:val="ro-RO"/>
        </w:rPr>
        <w:t xml:space="preserve"> care fac obiectul contractelor prevăzute la art. 2 alin. (1).</w:t>
      </w:r>
    </w:p>
    <w:p w14:paraId="03DC5760" w14:textId="4C4D8FBD" w:rsidR="00967F2C" w:rsidRDefault="00DF1998" w:rsidP="00940A55">
      <w:pPr>
        <w:spacing w:after="160"/>
        <w:ind w:left="-142"/>
        <w:rPr>
          <w:rFonts w:eastAsia="Calibri"/>
          <w:bCs/>
          <w:i/>
          <w:iCs/>
          <w:lang w:val="ro-RO"/>
        </w:rPr>
      </w:pPr>
      <w:r w:rsidRPr="00DF1998">
        <w:rPr>
          <w:rFonts w:eastAsia="Calibri"/>
          <w:bCs/>
          <w:iCs/>
          <w:lang w:val="ro-RO"/>
        </w:rPr>
        <w:t>În vederea armonizării Sistemului Electronic de Achiziții Publice</w:t>
      </w:r>
      <w:r w:rsidR="00780CDE">
        <w:rPr>
          <w:rFonts w:eastAsia="Calibri"/>
          <w:bCs/>
          <w:iCs/>
          <w:lang w:val="ro-RO"/>
        </w:rPr>
        <w:t xml:space="preserve"> (SEAP), astfel încât acesta</w:t>
      </w:r>
      <w:r w:rsidRPr="00DF1998">
        <w:rPr>
          <w:rFonts w:eastAsia="Calibri"/>
          <w:bCs/>
          <w:iCs/>
          <w:lang w:val="ro-RO"/>
        </w:rPr>
        <w:t xml:space="preserve"> să răspundă din punct de vedere tehnic, prevederilor legale</w:t>
      </w:r>
      <w:r w:rsidR="00F24DE8">
        <w:rPr>
          <w:rFonts w:eastAsia="Calibri"/>
          <w:bCs/>
          <w:iCs/>
          <w:lang w:val="ro-RO"/>
        </w:rPr>
        <w:t xml:space="preserve"> reglementate prin OUG </w:t>
      </w:r>
      <w:r w:rsidR="00DC6833">
        <w:rPr>
          <w:rFonts w:eastAsia="Calibri"/>
          <w:bCs/>
          <w:iCs/>
          <w:lang w:val="ro-RO"/>
        </w:rPr>
        <w:t>n</w:t>
      </w:r>
      <w:r w:rsidR="00F24DE8">
        <w:rPr>
          <w:rFonts w:eastAsia="Calibri"/>
          <w:bCs/>
          <w:iCs/>
          <w:lang w:val="ro-RO"/>
        </w:rPr>
        <w:t>r. 71/2021</w:t>
      </w:r>
      <w:r w:rsidRPr="00DF1998">
        <w:rPr>
          <w:rFonts w:eastAsia="Calibri"/>
          <w:bCs/>
          <w:iCs/>
          <w:lang w:val="ro-RO"/>
        </w:rPr>
        <w:t xml:space="preserve">, începând cu data de 4 octombrie 2021, Autoritatea pentru Digitalizarea României, </w:t>
      </w:r>
      <w:r>
        <w:rPr>
          <w:rFonts w:eastAsia="Calibri"/>
          <w:bCs/>
          <w:iCs/>
          <w:lang w:val="ro-RO"/>
        </w:rPr>
        <w:t>în calitate de operator al sistemului</w:t>
      </w:r>
      <w:r w:rsidRPr="00DF1998">
        <w:rPr>
          <w:rFonts w:eastAsia="Calibri"/>
          <w:bCs/>
          <w:iCs/>
          <w:lang w:val="ro-RO"/>
        </w:rPr>
        <w:t xml:space="preserve">, </w:t>
      </w:r>
      <w:r w:rsidRPr="0021313C">
        <w:rPr>
          <w:rFonts w:eastAsia="Calibri"/>
          <w:bCs/>
          <w:iCs/>
          <w:u w:val="single"/>
          <w:lang w:val="ro-RO"/>
        </w:rPr>
        <w:t xml:space="preserve">asigură autorităților/entităților contractante </w:t>
      </w:r>
      <w:r w:rsidR="00F24DE8">
        <w:rPr>
          <w:rFonts w:eastAsia="Calibri"/>
          <w:bCs/>
          <w:iCs/>
          <w:u w:val="single"/>
          <w:lang w:val="ro-RO"/>
        </w:rPr>
        <w:t>posibilitatea</w:t>
      </w:r>
      <w:r w:rsidR="00F24DE8" w:rsidRPr="0021313C">
        <w:rPr>
          <w:rFonts w:eastAsia="Calibri"/>
          <w:bCs/>
          <w:iCs/>
          <w:u w:val="single"/>
          <w:lang w:val="ro-RO"/>
        </w:rPr>
        <w:t xml:space="preserve"> </w:t>
      </w:r>
      <w:r w:rsidRPr="0021313C">
        <w:rPr>
          <w:rFonts w:eastAsia="Calibri"/>
          <w:bCs/>
          <w:iCs/>
          <w:u w:val="single"/>
          <w:lang w:val="ro-RO"/>
        </w:rPr>
        <w:t xml:space="preserve">de a-și îndeplini obligația de </w:t>
      </w:r>
      <w:r w:rsidRPr="00596E97">
        <w:rPr>
          <w:rFonts w:eastAsia="Calibri"/>
          <w:bCs/>
          <w:iCs/>
          <w:u w:val="single"/>
          <w:lang w:val="ro-RO"/>
        </w:rPr>
        <w:t>completare</w:t>
      </w:r>
      <w:r w:rsidRPr="00D063A9">
        <w:rPr>
          <w:rFonts w:eastAsia="Calibri"/>
          <w:bCs/>
          <w:iCs/>
          <w:u w:val="single"/>
          <w:lang w:val="ro-RO"/>
        </w:rPr>
        <w:t xml:space="preserve"> a acestor informații în câmpurile dedicate</w:t>
      </w:r>
      <w:r w:rsidR="00F24DE8">
        <w:rPr>
          <w:rFonts w:eastAsia="Calibri"/>
          <w:bCs/>
          <w:iCs/>
          <w:u w:val="single"/>
          <w:lang w:val="ro-RO"/>
        </w:rPr>
        <w:t>,</w:t>
      </w:r>
      <w:r w:rsidRPr="00D063A9">
        <w:rPr>
          <w:rFonts w:eastAsia="Calibri"/>
          <w:bCs/>
          <w:iCs/>
          <w:u w:val="single"/>
          <w:lang w:val="ro-RO"/>
        </w:rPr>
        <w:t xml:space="preserve"> la generarea unui anunț de atribuire, prin noua </w:t>
      </w:r>
      <w:r w:rsidRPr="00D063A9">
        <w:rPr>
          <w:rFonts w:eastAsia="Calibri"/>
          <w:bCs/>
          <w:i/>
          <w:iCs/>
          <w:u w:val="single"/>
          <w:lang w:val="ro-RO"/>
        </w:rPr>
        <w:t xml:space="preserve">secțiune </w:t>
      </w:r>
      <w:r w:rsidR="00CA0CEB" w:rsidRPr="00D063A9">
        <w:rPr>
          <w:rFonts w:eastAsia="Calibri"/>
          <w:bCs/>
          <w:i/>
          <w:iCs/>
          <w:u w:val="single"/>
          <w:lang w:val="ro-RO"/>
        </w:rPr>
        <w:t>„</w:t>
      </w:r>
      <w:r w:rsidRPr="00D063A9">
        <w:rPr>
          <w:rFonts w:eastAsia="Calibri"/>
          <w:bCs/>
          <w:i/>
          <w:iCs/>
          <w:u w:val="single"/>
          <w:lang w:val="ro-RO"/>
        </w:rPr>
        <w:t>Date adiționale</w:t>
      </w:r>
      <w:r w:rsidRPr="0021313C">
        <w:rPr>
          <w:rFonts w:eastAsia="Calibri"/>
          <w:bCs/>
          <w:i/>
          <w:iCs/>
          <w:lang w:val="ro-RO"/>
        </w:rPr>
        <w:t>”.</w:t>
      </w:r>
    </w:p>
    <w:p w14:paraId="2BB64DCB" w14:textId="5DB99B37" w:rsidR="00B50FEA" w:rsidRDefault="00B50FEA" w:rsidP="00940A55">
      <w:pPr>
        <w:spacing w:after="160"/>
        <w:ind w:left="-142"/>
        <w:rPr>
          <w:rFonts w:eastAsia="Calibri"/>
          <w:bCs/>
          <w:iCs/>
          <w:lang w:val="ro-RO"/>
        </w:rPr>
      </w:pPr>
      <w:r w:rsidRPr="00B50FEA">
        <w:rPr>
          <w:rFonts w:eastAsia="Calibri"/>
          <w:bCs/>
          <w:iCs/>
          <w:lang w:val="ro-RO"/>
        </w:rPr>
        <w:t>Astfel, la întrebarea:</w:t>
      </w:r>
      <w:r w:rsidR="00416B9D">
        <w:rPr>
          <w:rFonts w:eastAsia="Calibri"/>
          <w:bCs/>
          <w:iCs/>
          <w:lang w:val="ro-RO"/>
        </w:rPr>
        <w:t xml:space="preserve"> </w:t>
      </w:r>
      <w:r w:rsidR="000F03C3">
        <w:rPr>
          <w:rFonts w:eastAsia="Calibri"/>
          <w:b/>
          <w:bCs/>
          <w:i/>
          <w:iCs/>
          <w:lang w:val="ro-RO"/>
        </w:rPr>
        <w:t>„</w:t>
      </w:r>
      <w:r w:rsidRPr="0021313C">
        <w:rPr>
          <w:rFonts w:eastAsia="Calibri"/>
          <w:b/>
          <w:bCs/>
          <w:i/>
          <w:iCs/>
          <w:lang w:val="ro-RO"/>
        </w:rPr>
        <w:t xml:space="preserve">Prezentul anunț de atribuire vizează îndeplinirea obligațiilor prevăzute în directiva privind vehiculele curate?” </w:t>
      </w:r>
      <w:r w:rsidRPr="00B50FEA">
        <w:rPr>
          <w:rFonts w:eastAsia="Calibri"/>
          <w:bCs/>
          <w:iCs/>
          <w:lang w:val="ro-RO"/>
        </w:rPr>
        <w:t>din cadrul formularului de anunț de atribuire, autoritățile/entitățile contractante au obligația de a preciza dacă au atribuit sau nu au atribuit (după caz) procedurile de achiziție publică/sectoriale prin contractele prevăzute la art</w:t>
      </w:r>
      <w:r w:rsidR="00490B20">
        <w:rPr>
          <w:rFonts w:eastAsia="Calibri"/>
          <w:bCs/>
          <w:iCs/>
          <w:lang w:val="ro-RO"/>
        </w:rPr>
        <w:t xml:space="preserve">. </w:t>
      </w:r>
      <w:r w:rsidRPr="00B50FEA">
        <w:rPr>
          <w:rFonts w:eastAsia="Calibri"/>
          <w:bCs/>
          <w:iCs/>
          <w:lang w:val="ro-RO"/>
        </w:rPr>
        <w:t>2 alin.</w:t>
      </w:r>
      <w:r w:rsidR="00490B20">
        <w:rPr>
          <w:rFonts w:eastAsia="Calibri"/>
          <w:bCs/>
          <w:iCs/>
          <w:lang w:val="ro-RO"/>
        </w:rPr>
        <w:t xml:space="preserve"> </w:t>
      </w:r>
      <w:r w:rsidRPr="00B50FEA">
        <w:rPr>
          <w:rFonts w:eastAsia="Calibri"/>
          <w:bCs/>
          <w:iCs/>
          <w:lang w:val="ro-RO"/>
        </w:rPr>
        <w:t>(1) din OUG nr.</w:t>
      </w:r>
      <w:r w:rsidR="00294009">
        <w:rPr>
          <w:rFonts w:eastAsia="Calibri"/>
          <w:bCs/>
          <w:iCs/>
          <w:lang w:val="ro-RO"/>
        </w:rPr>
        <w:t xml:space="preserve"> </w:t>
      </w:r>
      <w:r w:rsidRPr="00B50FEA">
        <w:rPr>
          <w:rFonts w:eastAsia="Calibri"/>
          <w:bCs/>
          <w:iCs/>
          <w:lang w:val="ro-RO"/>
        </w:rPr>
        <w:t>71/2021.</w:t>
      </w:r>
      <w:r>
        <w:rPr>
          <w:rFonts w:eastAsia="Calibri"/>
          <w:bCs/>
          <w:iCs/>
          <w:lang w:val="ro-RO"/>
        </w:rPr>
        <w:t xml:space="preserve"> </w:t>
      </w:r>
      <w:r w:rsidR="00416B9D">
        <w:rPr>
          <w:rFonts w:eastAsia="Calibri"/>
          <w:bCs/>
          <w:iCs/>
          <w:lang w:val="ro-RO"/>
        </w:rPr>
        <w:t>A</w:t>
      </w:r>
      <w:r w:rsidRPr="00B50FEA">
        <w:rPr>
          <w:rFonts w:eastAsia="Calibri"/>
          <w:bCs/>
          <w:iCs/>
          <w:lang w:val="ro-RO"/>
        </w:rPr>
        <w:t>utoritățile/entitățile contractante răspund accesând una dintre opțiuni: DA/NU</w:t>
      </w:r>
      <w:r>
        <w:rPr>
          <w:rFonts w:eastAsia="Calibri"/>
          <w:bCs/>
          <w:iCs/>
          <w:lang w:val="ro-RO"/>
        </w:rPr>
        <w:t>.</w:t>
      </w:r>
    </w:p>
    <w:p w14:paraId="7A08E7AF" w14:textId="76F1E43E" w:rsidR="001D0642" w:rsidRPr="00B50FEA" w:rsidRDefault="00B50FEA" w:rsidP="001D0642">
      <w:pPr>
        <w:spacing w:after="160"/>
        <w:ind w:left="-142"/>
        <w:rPr>
          <w:rFonts w:eastAsia="Calibri"/>
          <w:bCs/>
          <w:iCs/>
          <w:lang w:val="ro-RO"/>
        </w:rPr>
      </w:pPr>
      <w:r w:rsidRPr="00B50FEA">
        <w:rPr>
          <w:rFonts w:eastAsia="Calibri"/>
          <w:bCs/>
          <w:iCs/>
          <w:lang w:val="ro-RO"/>
        </w:rPr>
        <w:t>În caz</w:t>
      </w:r>
      <w:r>
        <w:rPr>
          <w:rFonts w:eastAsia="Calibri"/>
          <w:bCs/>
          <w:iCs/>
          <w:lang w:val="ro-RO"/>
        </w:rPr>
        <w:t>u</w:t>
      </w:r>
      <w:r w:rsidRPr="00B50FEA">
        <w:rPr>
          <w:rFonts w:eastAsia="Calibri"/>
          <w:bCs/>
          <w:iCs/>
          <w:lang w:val="ro-RO"/>
        </w:rPr>
        <w:t xml:space="preserve">l în care autoritatea/entitatea contractantă </w:t>
      </w:r>
      <w:r w:rsidRPr="0021313C">
        <w:rPr>
          <w:rFonts w:eastAsia="Calibri"/>
          <w:bCs/>
          <w:iCs/>
          <w:u w:val="single"/>
          <w:lang w:val="ro-RO"/>
        </w:rPr>
        <w:t>răspunde DA</w:t>
      </w:r>
      <w:r w:rsidRPr="00B50FEA">
        <w:rPr>
          <w:rFonts w:eastAsia="Calibri"/>
          <w:bCs/>
          <w:iCs/>
          <w:lang w:val="ro-RO"/>
        </w:rPr>
        <w:t xml:space="preserve"> la întrebarea </w:t>
      </w:r>
      <w:r w:rsidR="00294009">
        <w:rPr>
          <w:rFonts w:eastAsia="Calibri"/>
          <w:bCs/>
          <w:iCs/>
          <w:lang w:val="ro-RO"/>
        </w:rPr>
        <w:t>„</w:t>
      </w:r>
      <w:r w:rsidRPr="0021313C">
        <w:rPr>
          <w:rFonts w:eastAsia="Calibri"/>
          <w:bCs/>
          <w:i/>
          <w:iCs/>
          <w:lang w:val="ro-RO"/>
        </w:rPr>
        <w:t>Prezentul anunț de atribuire vizează îndeplinirea obligațiilor prevăzute în directiva privind vehiculele curate</w:t>
      </w:r>
      <w:r w:rsidR="00294009">
        <w:rPr>
          <w:rFonts w:eastAsia="Calibri"/>
          <w:bCs/>
          <w:i/>
          <w:iCs/>
          <w:lang w:val="ro-RO"/>
        </w:rPr>
        <w:t>?”</w:t>
      </w:r>
      <w:r w:rsidRPr="00B50FEA">
        <w:rPr>
          <w:rFonts w:eastAsia="Calibri"/>
          <w:bCs/>
          <w:iCs/>
          <w:lang w:val="ro-RO"/>
        </w:rPr>
        <w:t>, funcționalitățile SEAP permit și</w:t>
      </w:r>
      <w:r w:rsidR="00F675F0">
        <w:rPr>
          <w:rFonts w:eastAsia="Calibri"/>
          <w:bCs/>
          <w:iCs/>
          <w:lang w:val="ro-RO"/>
        </w:rPr>
        <w:t>,</w:t>
      </w:r>
      <w:r w:rsidRPr="00B50FEA">
        <w:rPr>
          <w:rFonts w:eastAsia="Calibri"/>
          <w:bCs/>
          <w:iCs/>
          <w:lang w:val="ro-RO"/>
        </w:rPr>
        <w:t xml:space="preserve"> totodată</w:t>
      </w:r>
      <w:r w:rsidR="00F675F0">
        <w:rPr>
          <w:rFonts w:eastAsia="Calibri"/>
          <w:bCs/>
          <w:iCs/>
          <w:lang w:val="ro-RO"/>
        </w:rPr>
        <w:t>,</w:t>
      </w:r>
      <w:r w:rsidRPr="00B50FEA">
        <w:rPr>
          <w:rFonts w:eastAsia="Calibri"/>
          <w:bCs/>
          <w:iCs/>
          <w:lang w:val="ro-RO"/>
        </w:rPr>
        <w:t xml:space="preserve"> impun completarea informațiilor suplimentare referitoare la numărul total de vehicule achiziționate, din care </w:t>
      </w:r>
      <w:r w:rsidR="000A3A6B">
        <w:rPr>
          <w:rFonts w:eastAsia="Calibri"/>
          <w:bCs/>
          <w:iCs/>
          <w:lang w:val="ro-RO"/>
        </w:rPr>
        <w:t xml:space="preserve">câte </w:t>
      </w:r>
      <w:r w:rsidR="00E9060C">
        <w:rPr>
          <w:rFonts w:eastAsia="Calibri"/>
          <w:bCs/>
          <w:iCs/>
          <w:lang w:val="ro-RO"/>
        </w:rPr>
        <w:t xml:space="preserve">sunt </w:t>
      </w:r>
      <w:r w:rsidRPr="00B50FEA">
        <w:rPr>
          <w:rFonts w:eastAsia="Calibri"/>
          <w:bCs/>
          <w:iCs/>
          <w:lang w:val="ro-RO"/>
        </w:rPr>
        <w:t>vehicule nepoluante și</w:t>
      </w:r>
      <w:r w:rsidR="000A3A6B">
        <w:rPr>
          <w:rFonts w:eastAsia="Calibri"/>
          <w:bCs/>
          <w:iCs/>
          <w:lang w:val="ro-RO"/>
        </w:rPr>
        <w:t>/sau</w:t>
      </w:r>
      <w:r w:rsidRPr="00B50FEA">
        <w:rPr>
          <w:rFonts w:eastAsia="Calibri"/>
          <w:bCs/>
          <w:iCs/>
          <w:lang w:val="ro-RO"/>
        </w:rPr>
        <w:t xml:space="preserve"> vehicule cu emisii zero.</w:t>
      </w:r>
    </w:p>
    <w:p w14:paraId="006D7528" w14:textId="46A3C8F0" w:rsidR="00696B7A" w:rsidRDefault="00640618" w:rsidP="001D0642">
      <w:pPr>
        <w:spacing w:after="160"/>
        <w:ind w:left="-142"/>
        <w:rPr>
          <w:rFonts w:eastAsia="Calibri"/>
          <w:bCs/>
          <w:iCs/>
        </w:rPr>
      </w:pPr>
      <w:r>
        <w:rPr>
          <w:noProof/>
        </w:rPr>
        <w:drawing>
          <wp:inline distT="0" distB="0" distL="0" distR="0" wp14:anchorId="7D4F9457" wp14:editId="071621C6">
            <wp:extent cx="5850890" cy="2378710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237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48FFF" w14:textId="78F6C7AF" w:rsidR="00696B7A" w:rsidRPr="000C63DE" w:rsidRDefault="00640618" w:rsidP="00696B7A">
      <w:pPr>
        <w:spacing w:after="160"/>
        <w:ind w:left="-142"/>
        <w:rPr>
          <w:rFonts w:eastAsia="Calibri"/>
          <w:bCs/>
          <w:iCs/>
          <w:lang w:val="ro-RO"/>
        </w:rPr>
      </w:pPr>
      <w:r>
        <w:rPr>
          <w:noProof/>
        </w:rPr>
        <w:lastRenderedPageBreak/>
        <w:drawing>
          <wp:inline distT="0" distB="0" distL="0" distR="0" wp14:anchorId="50FC8106" wp14:editId="13DCDD8C">
            <wp:extent cx="5850890" cy="232854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232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6B7A" w:rsidRPr="000C63DE">
        <w:rPr>
          <w:rFonts w:eastAsia="Calibri"/>
          <w:bCs/>
          <w:iCs/>
          <w:lang w:val="ro-RO"/>
        </w:rPr>
        <w:t>Ulterior completării informațiilor referitoare la categoriile de vehicule achiziționate, în câmpul specific, funcționalitățile tehnice ale aplicației informatice asigura preluarea acestora în mod automat, în cadrul  secțiunii ”</w:t>
      </w:r>
      <w:r w:rsidR="00696B7A" w:rsidRPr="000C63DE">
        <w:rPr>
          <w:rFonts w:eastAsia="Calibri"/>
          <w:b/>
          <w:bCs/>
          <w:iCs/>
          <w:lang w:val="ro-RO"/>
        </w:rPr>
        <w:t>VI.3 Informații suplimentare”</w:t>
      </w:r>
      <w:r w:rsidR="00696B7A" w:rsidRPr="000C63DE">
        <w:rPr>
          <w:rFonts w:eastAsia="Calibri"/>
          <w:bCs/>
          <w:iCs/>
          <w:lang w:val="ro-RO"/>
        </w:rPr>
        <w:t xml:space="preserve"> a formularului de anunț de atribuire, asigurând astfel transmiterea și publicarea acestora în cadrul Jurnalului Oficial al Uniunii Europene (dacă este cazul).</w:t>
      </w:r>
    </w:p>
    <w:p w14:paraId="3BF9F1CA" w14:textId="4288CF6D" w:rsidR="000C63DE" w:rsidRPr="000C63DE" w:rsidRDefault="00640618" w:rsidP="001D0642">
      <w:pPr>
        <w:spacing w:after="160"/>
        <w:ind w:left="-142"/>
        <w:rPr>
          <w:rFonts w:eastAsia="Calibri"/>
          <w:bCs/>
          <w:iCs/>
          <w:lang w:val="ro-RO"/>
        </w:rPr>
      </w:pPr>
      <w:r>
        <w:rPr>
          <w:rFonts w:eastAsia="Calibri"/>
          <w:bCs/>
          <w:iCs/>
          <w:noProof/>
        </w:rPr>
        <w:drawing>
          <wp:inline distT="0" distB="0" distL="0" distR="0" wp14:anchorId="727E574F" wp14:editId="4DFED1A5">
            <wp:extent cx="5944235" cy="113411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D3B056" w14:textId="77777777" w:rsidR="00840C46" w:rsidRDefault="00840C46" w:rsidP="00940A55">
      <w:pPr>
        <w:tabs>
          <w:tab w:val="left" w:pos="0"/>
        </w:tabs>
        <w:spacing w:before="120"/>
        <w:ind w:left="0"/>
        <w:rPr>
          <w:rFonts w:cs="Arial"/>
          <w:lang w:val="ro-RO"/>
        </w:rPr>
      </w:pPr>
    </w:p>
    <w:p w14:paraId="78628EF8" w14:textId="57BF6892" w:rsidR="00BF4278" w:rsidRPr="00D063A9" w:rsidRDefault="000F03C3" w:rsidP="000F03C3">
      <w:pPr>
        <w:ind w:left="0"/>
        <w:rPr>
          <w:rFonts w:cs="Arial"/>
          <w:b/>
          <w:lang w:val="ro-RO"/>
        </w:rPr>
      </w:pPr>
      <w:r>
        <w:rPr>
          <w:rFonts w:cs="Arial"/>
          <w:b/>
          <w:lang w:val="ro-RO"/>
        </w:rPr>
        <w:t xml:space="preserve">III. </w:t>
      </w:r>
      <w:r w:rsidR="00416B9D">
        <w:rPr>
          <w:rFonts w:cs="Arial"/>
          <w:lang w:val="ro-RO"/>
        </w:rPr>
        <w:t>S</w:t>
      </w:r>
      <w:r w:rsidR="00803527">
        <w:rPr>
          <w:rFonts w:cs="Arial"/>
          <w:lang w:val="ro-RO"/>
        </w:rPr>
        <w:t xml:space="preserve">ubliniem faptul că </w:t>
      </w:r>
      <w:r w:rsidR="00CA0CEB" w:rsidRPr="00D063A9">
        <w:rPr>
          <w:rFonts w:cs="Arial"/>
          <w:b/>
          <w:lang w:val="ro-RO"/>
        </w:rPr>
        <w:t>atingerea, de către autoritățile/entitățile contractante din România</w:t>
      </w:r>
      <w:r w:rsidR="00803527" w:rsidRPr="00D063A9">
        <w:rPr>
          <w:rFonts w:cs="Arial"/>
          <w:b/>
          <w:lang w:val="ro-RO"/>
        </w:rPr>
        <w:t>,</w:t>
      </w:r>
      <w:r w:rsidR="00CA0CEB" w:rsidRPr="00D063A9">
        <w:rPr>
          <w:rFonts w:cs="Arial"/>
          <w:b/>
          <w:lang w:val="ro-RO"/>
        </w:rPr>
        <w:t xml:space="preserve"> a țintelor minime stabilite pentru țara noastră în Anexa </w:t>
      </w:r>
      <w:r w:rsidR="00BF4278" w:rsidRPr="00D063A9">
        <w:rPr>
          <w:rFonts w:eastAsia="Calibri"/>
          <w:b/>
          <w:bCs/>
          <w:lang w:val="ro-RO"/>
        </w:rPr>
        <w:t>Directivei (UE) 2019/1161</w:t>
      </w:r>
      <w:r w:rsidR="00CA0CEB">
        <w:rPr>
          <w:rFonts w:cs="Arial"/>
          <w:lang w:val="ro-RO"/>
        </w:rPr>
        <w:t xml:space="preserve"> </w:t>
      </w:r>
      <w:r w:rsidR="00CA0CEB" w:rsidRPr="00D063A9">
        <w:rPr>
          <w:rFonts w:cs="Arial"/>
          <w:b/>
          <w:lang w:val="ro-RO"/>
        </w:rPr>
        <w:t>(</w:t>
      </w:r>
      <w:r w:rsidR="00BF4278" w:rsidRPr="00D063A9">
        <w:rPr>
          <w:rFonts w:cs="Arial"/>
          <w:b/>
          <w:lang w:val="ro-RO"/>
        </w:rPr>
        <w:t xml:space="preserve">astfel cum au fost transpuse prin </w:t>
      </w:r>
      <w:r w:rsidR="00CA0CEB" w:rsidRPr="00D063A9">
        <w:rPr>
          <w:b/>
          <w:lang w:val="ro-RO"/>
        </w:rPr>
        <w:t>art. 4 alin. (1), lit. a)–f) din</w:t>
      </w:r>
      <w:r w:rsidR="00CA0CEB" w:rsidRPr="00D063A9">
        <w:rPr>
          <w:rFonts w:eastAsia="Calibri"/>
          <w:b/>
          <w:bCs/>
          <w:iCs/>
          <w:lang w:val="ro-RO"/>
        </w:rPr>
        <w:t xml:space="preserve"> </w:t>
      </w:r>
      <w:r w:rsidR="00BF4278" w:rsidRPr="00D063A9">
        <w:rPr>
          <w:b/>
          <w:bCs/>
          <w:iCs/>
          <w:lang w:val="ro-RO"/>
        </w:rPr>
        <w:t>OUG nr. 71/2021</w:t>
      </w:r>
      <w:r w:rsidR="00CA0CEB" w:rsidRPr="00D063A9">
        <w:rPr>
          <w:b/>
          <w:bCs/>
          <w:iCs/>
          <w:lang w:val="ro-RO"/>
        </w:rPr>
        <w:t>)</w:t>
      </w:r>
      <w:r w:rsidR="00596D67">
        <w:rPr>
          <w:b/>
          <w:bCs/>
          <w:iCs/>
          <w:lang w:val="ro-RO"/>
        </w:rPr>
        <w:t xml:space="preserve">, precum și raportarea corespunzătoare a informațiilor aferente de către ANAP, pe baza datelor disponibile în SEAP, </w:t>
      </w:r>
      <w:r w:rsidR="00BF4278" w:rsidRPr="00D063A9">
        <w:rPr>
          <w:b/>
          <w:bCs/>
          <w:iCs/>
          <w:lang w:val="ro-RO"/>
        </w:rPr>
        <w:t>reprezintă o obligație a României, în calitate</w:t>
      </w:r>
      <w:r w:rsidR="00803527" w:rsidRPr="00D063A9">
        <w:rPr>
          <w:b/>
          <w:bCs/>
          <w:iCs/>
          <w:lang w:val="ro-RO"/>
        </w:rPr>
        <w:t>a sa</w:t>
      </w:r>
      <w:r w:rsidR="00BF4278" w:rsidRPr="00D063A9">
        <w:rPr>
          <w:b/>
          <w:bCs/>
          <w:iCs/>
          <w:lang w:val="ro-RO"/>
        </w:rPr>
        <w:t xml:space="preserve"> de stat membru al Uniunii Europene.</w:t>
      </w:r>
    </w:p>
    <w:p w14:paraId="364A8025" w14:textId="6EFE32EA" w:rsidR="000F03C3" w:rsidRPr="00D063A9" w:rsidRDefault="00BF4278" w:rsidP="000F03C3">
      <w:pPr>
        <w:ind w:left="0"/>
        <w:rPr>
          <w:rFonts w:cs="Arial"/>
          <w:i/>
          <w:lang w:val="ro-RO"/>
        </w:rPr>
      </w:pPr>
      <w:r>
        <w:rPr>
          <w:rFonts w:cs="Arial"/>
          <w:lang w:val="ro-RO"/>
        </w:rPr>
        <w:t>Reamintim faptul că, î</w:t>
      </w:r>
      <w:r w:rsidR="000F03C3" w:rsidRPr="00D063A9">
        <w:rPr>
          <w:rFonts w:cs="Arial"/>
          <w:lang w:val="ro-RO"/>
        </w:rPr>
        <w:t>n conformitate cu prevederile Articolul</w:t>
      </w:r>
      <w:r w:rsidR="00416B9D">
        <w:rPr>
          <w:rFonts w:cs="Arial"/>
          <w:lang w:val="ro-RO"/>
        </w:rPr>
        <w:t>ui</w:t>
      </w:r>
      <w:r w:rsidR="000F03C3" w:rsidRPr="00D063A9">
        <w:rPr>
          <w:rFonts w:cs="Arial"/>
          <w:lang w:val="ro-RO"/>
        </w:rPr>
        <w:t xml:space="preserve"> 258 din Tratatul privind funcționarea Uniunii Europene (TFUE), </w:t>
      </w:r>
      <w:r w:rsidR="000F03C3" w:rsidRPr="00D063A9">
        <w:rPr>
          <w:rFonts w:cs="Arial"/>
          <w:i/>
          <w:lang w:val="ro-RO"/>
        </w:rPr>
        <w:t>„În cazul în care Comisia consideră că un stat membru a încălcat oricare dintre obligațiile care îi revin în temeiul tratatelor, aceasta emite un aviz motivat cu privire la acest aspect, după ce a oferit statului în cauză posibilitatea de a-și prezenta observațiile. În cazul în care statul în cauză nu se conformează acestui aviz în termenul stabilit de Comisie, aceasta poate sesiza Curtea de Justiție a Uniunii Europene”</w:t>
      </w:r>
      <w:r w:rsidR="00416B9D">
        <w:rPr>
          <w:rFonts w:cs="Arial"/>
          <w:i/>
          <w:lang w:val="ro-RO"/>
        </w:rPr>
        <w:t>.</w:t>
      </w:r>
    </w:p>
    <w:p w14:paraId="426CA78B" w14:textId="77777777" w:rsidR="00940A55" w:rsidRDefault="00940A55" w:rsidP="00940A55">
      <w:pPr>
        <w:ind w:left="0"/>
        <w:jc w:val="right"/>
        <w:rPr>
          <w:rFonts w:cs="Arial"/>
          <w:b/>
          <w:lang w:val="ro-RO"/>
        </w:rPr>
      </w:pPr>
    </w:p>
    <w:p w14:paraId="5D644B52" w14:textId="77777777" w:rsidR="00940A55" w:rsidRDefault="00940A55" w:rsidP="00940A55">
      <w:pPr>
        <w:ind w:left="0"/>
        <w:jc w:val="right"/>
        <w:rPr>
          <w:rFonts w:cs="Arial"/>
          <w:b/>
          <w:lang w:val="ro-RO"/>
        </w:rPr>
      </w:pPr>
    </w:p>
    <w:p w14:paraId="4CCA8528" w14:textId="52855E44" w:rsidR="00417987" w:rsidRDefault="009C37B6" w:rsidP="00940A55">
      <w:pPr>
        <w:ind w:left="0"/>
        <w:jc w:val="right"/>
        <w:rPr>
          <w:b/>
          <w:lang w:val="ro-RO"/>
        </w:rPr>
      </w:pPr>
      <w:r>
        <w:rPr>
          <w:rFonts w:cs="Arial"/>
          <w:b/>
          <w:lang w:val="ro-RO"/>
        </w:rPr>
        <w:t xml:space="preserve">20 </w:t>
      </w:r>
      <w:r w:rsidR="00940A55" w:rsidRPr="004B1F69">
        <w:rPr>
          <w:rFonts w:cs="Arial"/>
          <w:b/>
          <w:lang w:val="ro-RO"/>
        </w:rPr>
        <w:t>Iu</w:t>
      </w:r>
      <w:r>
        <w:rPr>
          <w:rFonts w:cs="Arial"/>
          <w:b/>
          <w:lang w:val="ro-RO"/>
        </w:rPr>
        <w:t>l</w:t>
      </w:r>
      <w:r w:rsidR="00940A55" w:rsidRPr="004B1F69">
        <w:rPr>
          <w:rFonts w:cs="Arial"/>
          <w:b/>
          <w:lang w:val="ro-RO"/>
        </w:rPr>
        <w:t>ie 2022</w:t>
      </w:r>
    </w:p>
    <w:sectPr w:rsidR="00417987" w:rsidSect="00E54287">
      <w:footerReference w:type="default" r:id="rId14"/>
      <w:headerReference w:type="first" r:id="rId15"/>
      <w:footerReference w:type="first" r:id="rId16"/>
      <w:pgSz w:w="11900" w:h="16840"/>
      <w:pgMar w:top="1383" w:right="1552" w:bottom="1843" w:left="1134" w:header="561" w:footer="323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80FB4" w16cex:dateUtc="2021-01-12T10:08:00Z"/>
  <w16cex:commentExtensible w16cex:durableId="23A81028" w16cex:dateUtc="2021-01-12T10:10:00Z"/>
  <w16cex:commentExtensible w16cex:durableId="23A81048" w16cex:dateUtc="2021-01-12T10:10:00Z"/>
  <w16cex:commentExtensible w16cex:durableId="23A810D9" w16cex:dateUtc="2021-01-12T10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3AB5126" w16cid:durableId="23A80FB4"/>
  <w16cid:commentId w16cid:paraId="3AF104C5" w16cid:durableId="23A81028"/>
  <w16cid:commentId w16cid:paraId="1AA41932" w16cid:durableId="23A81048"/>
  <w16cid:commentId w16cid:paraId="714557E3" w16cid:durableId="23A810D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CCA6BB" w14:textId="77777777" w:rsidR="00496C3A" w:rsidRDefault="00496C3A" w:rsidP="00CD5B3B">
      <w:r>
        <w:separator/>
      </w:r>
    </w:p>
  </w:endnote>
  <w:endnote w:type="continuationSeparator" w:id="0">
    <w:p w14:paraId="7F8EF05A" w14:textId="77777777" w:rsidR="00496C3A" w:rsidRDefault="00496C3A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rajan pr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5958F" w14:textId="71301836" w:rsidR="00E54287" w:rsidRDefault="00E54287" w:rsidP="00E54287">
    <w:pPr>
      <w:pStyle w:val="Footer"/>
      <w:spacing w:after="0" w:line="240" w:lineRule="auto"/>
      <w:jc w:val="left"/>
      <w:rPr>
        <w:sz w:val="14"/>
        <w:szCs w:val="14"/>
      </w:rPr>
    </w:pPr>
    <w:r w:rsidRPr="00C55BAF">
      <w:rPr>
        <w:sz w:val="14"/>
        <w:szCs w:val="14"/>
      </w:rPr>
      <w:t xml:space="preserve">Str. </w:t>
    </w:r>
    <w:proofErr w:type="spellStart"/>
    <w:r w:rsidRPr="00C55BAF">
      <w:rPr>
        <w:sz w:val="14"/>
        <w:szCs w:val="14"/>
      </w:rPr>
      <w:t>Foi</w:t>
    </w:r>
    <w:proofErr w:type="spellEnd"/>
    <w:r w:rsidRPr="00C55BAF">
      <w:rPr>
        <w:sz w:val="14"/>
        <w:szCs w:val="14"/>
        <w:lang w:val="ro-RO"/>
      </w:rPr>
      <w:t>şorului nr. 2, sector 3, Bucureşti, 031178</w:t>
    </w:r>
  </w:p>
  <w:p w14:paraId="7217627E" w14:textId="77777777" w:rsidR="00E54287" w:rsidRDefault="00E54287" w:rsidP="00E54287">
    <w:pPr>
      <w:pStyle w:val="Footer"/>
      <w:spacing w:after="0" w:line="240" w:lineRule="auto"/>
      <w:jc w:val="left"/>
      <w:rPr>
        <w:sz w:val="14"/>
        <w:szCs w:val="14"/>
      </w:rPr>
    </w:pPr>
    <w:r w:rsidRPr="00C55BAF">
      <w:rPr>
        <w:sz w:val="14"/>
        <w:szCs w:val="14"/>
      </w:rPr>
      <w:t xml:space="preserve">Tel: +4 021 311 8090, Fax: +4 021 311 8095, E-mail: </w:t>
    </w:r>
    <w:hyperlink r:id="rId1" w:history="1">
      <w:r w:rsidRPr="0033318E">
        <w:rPr>
          <w:rStyle w:val="Hyperlink"/>
          <w:sz w:val="14"/>
          <w:szCs w:val="14"/>
        </w:rPr>
        <w:t>contact@anap.gov.ro</w:t>
      </w:r>
    </w:hyperlink>
  </w:p>
  <w:p w14:paraId="062A69EC" w14:textId="77777777" w:rsidR="00E54287" w:rsidRPr="00D05DF0" w:rsidRDefault="00E54287" w:rsidP="00E54287">
    <w:pPr>
      <w:pStyle w:val="Footer"/>
      <w:spacing w:after="0" w:line="240" w:lineRule="auto"/>
      <w:jc w:val="left"/>
      <w:rPr>
        <w:sz w:val="14"/>
        <w:szCs w:val="14"/>
      </w:rPr>
    </w:pPr>
    <w:r w:rsidRPr="00C55BAF">
      <w:rPr>
        <w:sz w:val="14"/>
        <w:szCs w:val="14"/>
      </w:rPr>
      <w:t>www.anap.gov.ro</w:t>
    </w:r>
  </w:p>
  <w:p w14:paraId="0855C88C" w14:textId="55D1EAF8" w:rsidR="00E54287" w:rsidRDefault="00E54287">
    <w:pPr>
      <w:pStyle w:val="Footer"/>
    </w:pPr>
  </w:p>
  <w:p w14:paraId="2982EB75" w14:textId="77777777" w:rsidR="00E54287" w:rsidRDefault="00E542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E48D5" w14:textId="7FA34FB8" w:rsidR="00E54287" w:rsidRDefault="00E54287" w:rsidP="00E54287">
    <w:pPr>
      <w:pStyle w:val="Footer"/>
      <w:spacing w:after="0" w:line="240" w:lineRule="auto"/>
      <w:jc w:val="left"/>
      <w:rPr>
        <w:sz w:val="14"/>
        <w:szCs w:val="14"/>
      </w:rPr>
    </w:pPr>
    <w:r w:rsidRPr="00C55BAF">
      <w:rPr>
        <w:sz w:val="14"/>
        <w:szCs w:val="14"/>
      </w:rPr>
      <w:t xml:space="preserve">Str. </w:t>
    </w:r>
    <w:proofErr w:type="spellStart"/>
    <w:r w:rsidRPr="00C55BAF">
      <w:rPr>
        <w:sz w:val="14"/>
        <w:szCs w:val="14"/>
      </w:rPr>
      <w:t>Foi</w:t>
    </w:r>
    <w:proofErr w:type="spellEnd"/>
    <w:r w:rsidRPr="00C55BAF">
      <w:rPr>
        <w:sz w:val="14"/>
        <w:szCs w:val="14"/>
        <w:lang w:val="ro-RO"/>
      </w:rPr>
      <w:t>şorului nr. 2, sector 3, Bucureşti, 031178</w:t>
    </w:r>
  </w:p>
  <w:p w14:paraId="332CF097" w14:textId="77777777" w:rsidR="00E54287" w:rsidRDefault="00E54287" w:rsidP="00E54287">
    <w:pPr>
      <w:pStyle w:val="Footer"/>
      <w:spacing w:after="0" w:line="240" w:lineRule="auto"/>
      <w:jc w:val="left"/>
      <w:rPr>
        <w:sz w:val="14"/>
        <w:szCs w:val="14"/>
      </w:rPr>
    </w:pPr>
    <w:r w:rsidRPr="00C55BAF">
      <w:rPr>
        <w:sz w:val="14"/>
        <w:szCs w:val="14"/>
      </w:rPr>
      <w:t xml:space="preserve">Tel: +4 021 311 8090, Fax: +4 021 311 8095, E-mail: </w:t>
    </w:r>
    <w:hyperlink r:id="rId1" w:history="1">
      <w:r w:rsidRPr="0033318E">
        <w:rPr>
          <w:rStyle w:val="Hyperlink"/>
          <w:sz w:val="14"/>
          <w:szCs w:val="14"/>
        </w:rPr>
        <w:t>contact@anap.gov.ro</w:t>
      </w:r>
    </w:hyperlink>
  </w:p>
  <w:p w14:paraId="5E16A932" w14:textId="77777777" w:rsidR="00E54287" w:rsidRPr="00D05DF0" w:rsidRDefault="00E54287" w:rsidP="00E54287">
    <w:pPr>
      <w:pStyle w:val="Footer"/>
      <w:spacing w:after="0" w:line="240" w:lineRule="auto"/>
      <w:jc w:val="left"/>
      <w:rPr>
        <w:sz w:val="14"/>
        <w:szCs w:val="14"/>
      </w:rPr>
    </w:pPr>
    <w:r w:rsidRPr="00C55BAF">
      <w:rPr>
        <w:sz w:val="14"/>
        <w:szCs w:val="14"/>
      </w:rPr>
      <w:t>www.anap.gov.ro</w:t>
    </w:r>
  </w:p>
  <w:p w14:paraId="5F6D4E3C" w14:textId="44836415" w:rsidR="00E54287" w:rsidRDefault="00E54287">
    <w:pPr>
      <w:pStyle w:val="Footer"/>
    </w:pPr>
  </w:p>
  <w:p w14:paraId="4685317F" w14:textId="2A719D5E" w:rsidR="000D6610" w:rsidRPr="00D05DF0" w:rsidRDefault="000D6610" w:rsidP="00D063A9">
    <w:pPr>
      <w:pStyle w:val="Footer"/>
      <w:spacing w:line="240" w:lineRule="auto"/>
      <w:jc w:val="left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0AF2C6" w14:textId="77777777" w:rsidR="00496C3A" w:rsidRDefault="00496C3A" w:rsidP="00CD5B3B">
      <w:r>
        <w:separator/>
      </w:r>
    </w:p>
  </w:footnote>
  <w:footnote w:type="continuationSeparator" w:id="0">
    <w:p w14:paraId="7B2FC62B" w14:textId="77777777" w:rsidR="00496C3A" w:rsidRDefault="00496C3A" w:rsidP="00CD5B3B">
      <w:r>
        <w:continuationSeparator/>
      </w:r>
    </w:p>
  </w:footnote>
  <w:footnote w:id="1">
    <w:p w14:paraId="31D550C2" w14:textId="65AAF28F" w:rsidR="00E038EF" w:rsidRPr="00D063A9" w:rsidRDefault="00E038EF" w:rsidP="00F73428">
      <w:pPr>
        <w:pStyle w:val="FootnoteText"/>
        <w:ind w:left="0"/>
        <w:rPr>
          <w:sz w:val="16"/>
          <w:szCs w:val="16"/>
          <w:lang w:val="ro-RO"/>
        </w:rPr>
      </w:pPr>
      <w:r>
        <w:rPr>
          <w:rStyle w:val="FootnoteReference"/>
        </w:rPr>
        <w:footnoteRef/>
      </w:r>
      <w:r w:rsidRPr="00D063A9">
        <w:rPr>
          <w:lang w:val="ro-RO"/>
        </w:rPr>
        <w:t xml:space="preserve"> </w:t>
      </w:r>
      <w:r w:rsidRPr="00D063A9">
        <w:rPr>
          <w:sz w:val="16"/>
          <w:szCs w:val="16"/>
          <w:lang w:val="ro-RO"/>
        </w:rPr>
        <w:t>Anexa nr. 1 la OUG nr. 71/2021</w:t>
      </w:r>
      <w:r w:rsidR="00DB0691" w:rsidRPr="00D063A9">
        <w:rPr>
          <w:sz w:val="16"/>
          <w:szCs w:val="16"/>
          <w:lang w:val="ro-RO"/>
        </w:rPr>
        <w:t xml:space="preserve"> privind promovarea vehiculelor de transport rutier nepoluante, în sprijinul unei mobilități cu emisii scăzute, pentru abrogarea Ordonanței de urgență a Guvernului nr. 40/2011 privind promovarea vehiculelor de transport rutier nepoluante şi eficiente din punct de vedere energetic și a Legii nr. 37/2018 privind promovarea transportului ecologic.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AC176F" w14:textId="77777777" w:rsidR="000D6610" w:rsidRPr="0010030F" w:rsidRDefault="001B0B32" w:rsidP="00E54287">
    <w:pPr>
      <w:pStyle w:val="Header"/>
      <w:spacing w:after="0"/>
      <w:ind w:left="0"/>
      <w:jc w:val="right"/>
      <w:rPr>
        <w:i/>
      </w:rPr>
    </w:pPr>
    <w:r>
      <w:rPr>
        <w:i/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E0A551" wp14:editId="4A32E293">
              <wp:simplePos x="0" y="0"/>
              <wp:positionH relativeFrom="margin">
                <wp:posOffset>1108710</wp:posOffset>
              </wp:positionH>
              <wp:positionV relativeFrom="paragraph">
                <wp:posOffset>167640</wp:posOffset>
              </wp:positionV>
              <wp:extent cx="4924425" cy="804545"/>
              <wp:effectExtent l="0" t="0" r="9525" b="0"/>
              <wp:wrapSquare wrapText="bothSides"/>
              <wp:docPr id="2" name="Casetă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4425" cy="804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DC234C" w14:textId="77777777" w:rsidR="000D6610" w:rsidRPr="0068701F" w:rsidRDefault="000D6610" w:rsidP="003F6E63">
                          <w:pPr>
                            <w:ind w:left="0"/>
                            <w:rPr>
                              <w:rFonts w:ascii="Trajan pro" w:hAnsi="Trajan pro" w:hint="eastAsia"/>
                              <w:color w:val="2E74B5"/>
                              <w:sz w:val="28"/>
                              <w:szCs w:val="28"/>
                            </w:rPr>
                          </w:pPr>
                          <w:r w:rsidRPr="0068701F">
                            <w:rPr>
                              <w:rFonts w:ascii="Trajan pro" w:hAnsi="Trajan pro"/>
                              <w:color w:val="2E74B5"/>
                              <w:sz w:val="28"/>
                              <w:szCs w:val="28"/>
                            </w:rPr>
                            <w:t>GUVERNUL ROMÂNIEI</w:t>
                          </w:r>
                        </w:p>
                        <w:p w14:paraId="7242F2A6" w14:textId="77777777" w:rsidR="000D6610" w:rsidRPr="0068701F" w:rsidRDefault="000D6610" w:rsidP="003F6E63">
                          <w:pPr>
                            <w:ind w:left="0"/>
                            <w:rPr>
                              <w:rFonts w:ascii="Trajan pro" w:hAnsi="Trajan pro" w:hint="eastAsia"/>
                              <w:color w:val="2E74B5"/>
                              <w:sz w:val="30"/>
                              <w:szCs w:val="30"/>
                            </w:rPr>
                          </w:pPr>
                          <w:r w:rsidRPr="0068701F">
                            <w:rPr>
                              <w:rFonts w:ascii="Trajan pro" w:hAnsi="Trajan pro"/>
                              <w:color w:val="2E74B5"/>
                              <w:sz w:val="30"/>
                              <w:szCs w:val="30"/>
                            </w:rPr>
                            <w:t>AGENȚIA NAȚIONALĂ PENTRU ACHIZIȚII PUBLICE</w:t>
                          </w:r>
                        </w:p>
                      </w:txbxContent>
                    </wps:txbx>
                    <wps:bodyPr rot="0" vert="horz" wrap="square" lIns="18000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E0A551" id="_x0000_t202" coordsize="21600,21600" o:spt="202" path="m,l,21600r21600,l21600,xe">
              <v:stroke joinstyle="miter"/>
              <v:path gradientshapeok="t" o:connecttype="rect"/>
            </v:shapetype>
            <v:shape id="Casetă text 2" o:spid="_x0000_s1026" type="#_x0000_t202" style="position:absolute;left:0;text-align:left;margin-left:87.3pt;margin-top:13.2pt;width:387.75pt;height:63.35pt;z-index: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" stroked="f">
              <v:textbox inset="5mm">
                <w:txbxContent>
                  <w:p w14:paraId="22DC234C" w14:textId="77777777" w:rsidR="000D6610" w:rsidRPr="0068701F" w:rsidRDefault="000D6610" w:rsidP="003F6E63">
                    <w:pPr>
                      <w:ind w:left="0"/>
                      <w:rPr>
                        <w:rFonts w:ascii="Trajan pro" w:hAnsi="Trajan pro" w:hint="eastAsia"/>
                        <w:color w:val="2E74B5"/>
                        <w:sz w:val="28"/>
                        <w:szCs w:val="28"/>
                      </w:rPr>
                    </w:pPr>
                    <w:r w:rsidRPr="0068701F">
                      <w:rPr>
                        <w:rFonts w:ascii="Trajan pro" w:hAnsi="Trajan pro"/>
                        <w:color w:val="2E74B5"/>
                        <w:sz w:val="28"/>
                        <w:szCs w:val="28"/>
                      </w:rPr>
                      <w:t>GUVERNUL ROMÂNIEI</w:t>
                    </w:r>
                  </w:p>
                  <w:p w14:paraId="7242F2A6" w14:textId="77777777" w:rsidR="000D6610" w:rsidRPr="0068701F" w:rsidRDefault="000D6610" w:rsidP="003F6E63">
                    <w:pPr>
                      <w:ind w:left="0"/>
                      <w:rPr>
                        <w:rFonts w:ascii="Trajan pro" w:hAnsi="Trajan pro" w:hint="eastAsia"/>
                        <w:color w:val="2E74B5"/>
                        <w:sz w:val="30"/>
                        <w:szCs w:val="30"/>
                      </w:rPr>
                    </w:pPr>
                    <w:r w:rsidRPr="0068701F">
                      <w:rPr>
                        <w:rFonts w:ascii="Trajan pro" w:hAnsi="Trajan pro"/>
                        <w:color w:val="2E74B5"/>
                        <w:sz w:val="30"/>
                        <w:szCs w:val="30"/>
                      </w:rPr>
                      <w:t>AGENȚIA NAȚIONALĂ PENTRU ACHIZIȚII PUBLICE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i/>
        <w:noProof/>
      </w:rPr>
      <w:drawing>
        <wp:anchor distT="0" distB="0" distL="114300" distR="114300" simplePos="0" relativeHeight="251657216" behindDoc="0" locked="0" layoutInCell="1" allowOverlap="1" wp14:anchorId="1D2B0C8D" wp14:editId="178D4D53">
          <wp:simplePos x="0" y="0"/>
          <wp:positionH relativeFrom="margin">
            <wp:posOffset>5715</wp:posOffset>
          </wp:positionH>
          <wp:positionV relativeFrom="margin">
            <wp:posOffset>-447675</wp:posOffset>
          </wp:positionV>
          <wp:extent cx="899795" cy="899795"/>
          <wp:effectExtent l="0" t="0" r="0" b="0"/>
          <wp:wrapNone/>
          <wp:docPr id="27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35D"/>
      </v:shape>
    </w:pict>
  </w:numPicBullet>
  <w:abstractNum w:abstractNumId="0" w15:restartNumberingAfterBreak="0">
    <w:nsid w:val="00E16A7B"/>
    <w:multiLevelType w:val="hybridMultilevel"/>
    <w:tmpl w:val="1C647390"/>
    <w:lvl w:ilvl="0" w:tplc="234CA6A8">
      <w:numFmt w:val="bullet"/>
      <w:lvlText w:val="-"/>
      <w:lvlJc w:val="left"/>
      <w:pPr>
        <w:ind w:left="720" w:hanging="360"/>
      </w:pPr>
      <w:rPr>
        <w:rFonts w:ascii="Trebuchet MS" w:eastAsia="MS Mincho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C5B92"/>
    <w:multiLevelType w:val="hybridMultilevel"/>
    <w:tmpl w:val="C9B838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2073B"/>
    <w:multiLevelType w:val="hybridMultilevel"/>
    <w:tmpl w:val="3832522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79621D"/>
    <w:multiLevelType w:val="hybridMultilevel"/>
    <w:tmpl w:val="9C420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E3CE6"/>
    <w:multiLevelType w:val="hybridMultilevel"/>
    <w:tmpl w:val="E49E2FC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DF1F5A"/>
    <w:multiLevelType w:val="hybridMultilevel"/>
    <w:tmpl w:val="E42E70D4"/>
    <w:lvl w:ilvl="0" w:tplc="EEB893F8">
      <w:start w:val="51"/>
      <w:numFmt w:val="bullet"/>
      <w:lvlText w:val="-"/>
      <w:lvlJc w:val="left"/>
      <w:pPr>
        <w:ind w:left="720" w:hanging="360"/>
      </w:pPr>
      <w:rPr>
        <w:rFonts w:ascii="Trebuchet MS" w:eastAsia="MS ??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458C1"/>
    <w:multiLevelType w:val="hybridMultilevel"/>
    <w:tmpl w:val="160658B6"/>
    <w:lvl w:ilvl="0" w:tplc="559836A8">
      <w:start w:val="2"/>
      <w:numFmt w:val="bullet"/>
      <w:lvlText w:val="-"/>
      <w:lvlJc w:val="left"/>
      <w:pPr>
        <w:ind w:left="1069" w:hanging="360"/>
      </w:pPr>
      <w:rPr>
        <w:rFonts w:ascii="Times New (W1)" w:eastAsia="Times New Roman" w:hAnsi="Times New (W1)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5E93376"/>
    <w:multiLevelType w:val="hybridMultilevel"/>
    <w:tmpl w:val="83E0A9B0"/>
    <w:lvl w:ilvl="0" w:tplc="B58C590C">
      <w:numFmt w:val="bullet"/>
      <w:lvlText w:val="-"/>
      <w:lvlJc w:val="left"/>
      <w:pPr>
        <w:ind w:left="420" w:hanging="360"/>
      </w:pPr>
      <w:rPr>
        <w:rFonts w:ascii="Trebuchet MS" w:eastAsia="MS Mincho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5ED5E1A"/>
    <w:multiLevelType w:val="hybridMultilevel"/>
    <w:tmpl w:val="FB1E358A"/>
    <w:lvl w:ilvl="0" w:tplc="D0F60206">
      <w:numFmt w:val="bullet"/>
      <w:lvlText w:val="-"/>
      <w:lvlJc w:val="left"/>
      <w:pPr>
        <w:ind w:left="420" w:hanging="360"/>
      </w:pPr>
      <w:rPr>
        <w:rFonts w:ascii="Trebuchet MS" w:eastAsia="MS Mincho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A2F2CB9"/>
    <w:multiLevelType w:val="hybridMultilevel"/>
    <w:tmpl w:val="06DEF26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F43052"/>
    <w:multiLevelType w:val="hybridMultilevel"/>
    <w:tmpl w:val="CDF48A68"/>
    <w:lvl w:ilvl="0" w:tplc="EEB893F8">
      <w:start w:val="51"/>
      <w:numFmt w:val="bullet"/>
      <w:lvlText w:val="-"/>
      <w:lvlJc w:val="left"/>
      <w:pPr>
        <w:ind w:left="720" w:hanging="360"/>
      </w:pPr>
      <w:rPr>
        <w:rFonts w:ascii="Trebuchet MS" w:eastAsia="MS ??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D29C2"/>
    <w:multiLevelType w:val="hybridMultilevel"/>
    <w:tmpl w:val="9F3671E4"/>
    <w:lvl w:ilvl="0" w:tplc="CF44034A">
      <w:start w:val="2"/>
      <w:numFmt w:val="bullet"/>
      <w:lvlText w:val="-"/>
      <w:lvlJc w:val="left"/>
      <w:pPr>
        <w:ind w:left="1080" w:hanging="360"/>
      </w:pPr>
      <w:rPr>
        <w:rFonts w:ascii="Trebuchet MS" w:eastAsia="MS Mincho" w:hAnsi="Trebuchet MS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C940CB"/>
    <w:multiLevelType w:val="hybridMultilevel"/>
    <w:tmpl w:val="FF5AEBE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5B53BE0"/>
    <w:multiLevelType w:val="hybridMultilevel"/>
    <w:tmpl w:val="875EC1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16321"/>
    <w:multiLevelType w:val="hybridMultilevel"/>
    <w:tmpl w:val="7D303EA0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A610158"/>
    <w:multiLevelType w:val="multilevel"/>
    <w:tmpl w:val="587E400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Theme="minorHAnsi" w:hAnsi="Trebuchet MS" w:cs="Trebuchet M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610427"/>
    <w:multiLevelType w:val="hybridMultilevel"/>
    <w:tmpl w:val="D6225FA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EFE743A"/>
    <w:multiLevelType w:val="hybridMultilevel"/>
    <w:tmpl w:val="5B7E65F0"/>
    <w:lvl w:ilvl="0" w:tplc="CF44034A">
      <w:start w:val="2"/>
      <w:numFmt w:val="bullet"/>
      <w:lvlText w:val="-"/>
      <w:lvlJc w:val="left"/>
      <w:pPr>
        <w:ind w:left="720" w:hanging="360"/>
      </w:pPr>
      <w:rPr>
        <w:rFonts w:ascii="Trebuchet MS" w:eastAsia="MS Mincho" w:hAnsi="Trebuchet MS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09309A"/>
    <w:multiLevelType w:val="hybridMultilevel"/>
    <w:tmpl w:val="D368C4A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52807"/>
    <w:multiLevelType w:val="hybridMultilevel"/>
    <w:tmpl w:val="7F22A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FB7557"/>
    <w:multiLevelType w:val="hybridMultilevel"/>
    <w:tmpl w:val="CDBC2442"/>
    <w:lvl w:ilvl="0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19"/>
  </w:num>
  <w:num w:numId="5">
    <w:abstractNumId w:val="3"/>
  </w:num>
  <w:num w:numId="6">
    <w:abstractNumId w:val="17"/>
  </w:num>
  <w:num w:numId="7">
    <w:abstractNumId w:val="1"/>
  </w:num>
  <w:num w:numId="8">
    <w:abstractNumId w:val="7"/>
  </w:num>
  <w:num w:numId="9">
    <w:abstractNumId w:val="8"/>
  </w:num>
  <w:num w:numId="10">
    <w:abstractNumId w:val="18"/>
  </w:num>
  <w:num w:numId="11">
    <w:abstractNumId w:val="16"/>
  </w:num>
  <w:num w:numId="12">
    <w:abstractNumId w:val="2"/>
  </w:num>
  <w:num w:numId="13">
    <w:abstractNumId w:val="14"/>
  </w:num>
  <w:num w:numId="14">
    <w:abstractNumId w:val="20"/>
  </w:num>
  <w:num w:numId="15">
    <w:abstractNumId w:val="12"/>
  </w:num>
  <w:num w:numId="16">
    <w:abstractNumId w:val="4"/>
  </w:num>
  <w:num w:numId="17">
    <w:abstractNumId w:val="9"/>
  </w:num>
  <w:num w:numId="18">
    <w:abstractNumId w:val="15"/>
  </w:num>
  <w:num w:numId="19">
    <w:abstractNumId w:val="5"/>
  </w:num>
  <w:num w:numId="20">
    <w:abstractNumId w:val="1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F2C"/>
    <w:rsid w:val="00000F22"/>
    <w:rsid w:val="000068C9"/>
    <w:rsid w:val="00006A10"/>
    <w:rsid w:val="00007B72"/>
    <w:rsid w:val="0001534E"/>
    <w:rsid w:val="00015BB4"/>
    <w:rsid w:val="00016434"/>
    <w:rsid w:val="000242DF"/>
    <w:rsid w:val="000243AB"/>
    <w:rsid w:val="000255AA"/>
    <w:rsid w:val="00027319"/>
    <w:rsid w:val="000276FC"/>
    <w:rsid w:val="00031F10"/>
    <w:rsid w:val="00036BD8"/>
    <w:rsid w:val="00050C1A"/>
    <w:rsid w:val="00054D13"/>
    <w:rsid w:val="000572D4"/>
    <w:rsid w:val="00061653"/>
    <w:rsid w:val="00066F9F"/>
    <w:rsid w:val="000678EA"/>
    <w:rsid w:val="00070013"/>
    <w:rsid w:val="00075284"/>
    <w:rsid w:val="00084557"/>
    <w:rsid w:val="00085507"/>
    <w:rsid w:val="000934A8"/>
    <w:rsid w:val="000975D7"/>
    <w:rsid w:val="000A3A6B"/>
    <w:rsid w:val="000A5E89"/>
    <w:rsid w:val="000B09E3"/>
    <w:rsid w:val="000B0DA2"/>
    <w:rsid w:val="000C04EF"/>
    <w:rsid w:val="000C4B9C"/>
    <w:rsid w:val="000C63DE"/>
    <w:rsid w:val="000C7129"/>
    <w:rsid w:val="000D077E"/>
    <w:rsid w:val="000D6610"/>
    <w:rsid w:val="000E1B4F"/>
    <w:rsid w:val="000E23FD"/>
    <w:rsid w:val="000E3034"/>
    <w:rsid w:val="000E5916"/>
    <w:rsid w:val="000F03C3"/>
    <w:rsid w:val="000F3015"/>
    <w:rsid w:val="0010030F"/>
    <w:rsid w:val="00100F36"/>
    <w:rsid w:val="001020E2"/>
    <w:rsid w:val="001032CB"/>
    <w:rsid w:val="00104CC2"/>
    <w:rsid w:val="00106FBB"/>
    <w:rsid w:val="00114F7F"/>
    <w:rsid w:val="001219EB"/>
    <w:rsid w:val="00121C38"/>
    <w:rsid w:val="00125578"/>
    <w:rsid w:val="0013428E"/>
    <w:rsid w:val="001362B5"/>
    <w:rsid w:val="00140EB7"/>
    <w:rsid w:val="00142BBD"/>
    <w:rsid w:val="00145882"/>
    <w:rsid w:val="00145A30"/>
    <w:rsid w:val="00151666"/>
    <w:rsid w:val="001607ED"/>
    <w:rsid w:val="0016174D"/>
    <w:rsid w:val="001644C6"/>
    <w:rsid w:val="00166A37"/>
    <w:rsid w:val="00170762"/>
    <w:rsid w:val="001742D9"/>
    <w:rsid w:val="00174646"/>
    <w:rsid w:val="001840F8"/>
    <w:rsid w:val="0018585F"/>
    <w:rsid w:val="001864E6"/>
    <w:rsid w:val="00186A4C"/>
    <w:rsid w:val="001A080B"/>
    <w:rsid w:val="001A450F"/>
    <w:rsid w:val="001A761F"/>
    <w:rsid w:val="001B0B32"/>
    <w:rsid w:val="001B368B"/>
    <w:rsid w:val="001B6D72"/>
    <w:rsid w:val="001C18AC"/>
    <w:rsid w:val="001C27E7"/>
    <w:rsid w:val="001C3D25"/>
    <w:rsid w:val="001D0642"/>
    <w:rsid w:val="001D0F9F"/>
    <w:rsid w:val="001D2533"/>
    <w:rsid w:val="001D468E"/>
    <w:rsid w:val="001D722A"/>
    <w:rsid w:val="001E0033"/>
    <w:rsid w:val="001E4A20"/>
    <w:rsid w:val="001E6AEC"/>
    <w:rsid w:val="001F4786"/>
    <w:rsid w:val="002039C6"/>
    <w:rsid w:val="00211C8B"/>
    <w:rsid w:val="00211DE4"/>
    <w:rsid w:val="0021313C"/>
    <w:rsid w:val="00214F1A"/>
    <w:rsid w:val="002160DD"/>
    <w:rsid w:val="00217734"/>
    <w:rsid w:val="00226C10"/>
    <w:rsid w:val="00227D4C"/>
    <w:rsid w:val="0023738C"/>
    <w:rsid w:val="00237F64"/>
    <w:rsid w:val="00242318"/>
    <w:rsid w:val="00243CEE"/>
    <w:rsid w:val="00247F6C"/>
    <w:rsid w:val="002554E1"/>
    <w:rsid w:val="00270F71"/>
    <w:rsid w:val="0028319A"/>
    <w:rsid w:val="00284523"/>
    <w:rsid w:val="002854E6"/>
    <w:rsid w:val="00294009"/>
    <w:rsid w:val="0029584F"/>
    <w:rsid w:val="002966EE"/>
    <w:rsid w:val="002A16DB"/>
    <w:rsid w:val="002A283E"/>
    <w:rsid w:val="002A2AE3"/>
    <w:rsid w:val="002A5742"/>
    <w:rsid w:val="002A5BC2"/>
    <w:rsid w:val="002A67C7"/>
    <w:rsid w:val="002A6AA8"/>
    <w:rsid w:val="002B37ED"/>
    <w:rsid w:val="002B5ABC"/>
    <w:rsid w:val="002B76F9"/>
    <w:rsid w:val="002C4E7D"/>
    <w:rsid w:val="002C5596"/>
    <w:rsid w:val="002C60C9"/>
    <w:rsid w:val="002E09A9"/>
    <w:rsid w:val="002F3040"/>
    <w:rsid w:val="002F33AF"/>
    <w:rsid w:val="002F37AA"/>
    <w:rsid w:val="002F7923"/>
    <w:rsid w:val="00303FCB"/>
    <w:rsid w:val="00306B14"/>
    <w:rsid w:val="00310A20"/>
    <w:rsid w:val="00315977"/>
    <w:rsid w:val="003231EF"/>
    <w:rsid w:val="0032426B"/>
    <w:rsid w:val="003250A5"/>
    <w:rsid w:val="003278D1"/>
    <w:rsid w:val="00330B32"/>
    <w:rsid w:val="00341529"/>
    <w:rsid w:val="00347E46"/>
    <w:rsid w:val="00354F25"/>
    <w:rsid w:val="003676B0"/>
    <w:rsid w:val="003712F8"/>
    <w:rsid w:val="00371C26"/>
    <w:rsid w:val="00371CF4"/>
    <w:rsid w:val="00380342"/>
    <w:rsid w:val="00381422"/>
    <w:rsid w:val="0038604A"/>
    <w:rsid w:val="00391EAB"/>
    <w:rsid w:val="003941F9"/>
    <w:rsid w:val="003A38AC"/>
    <w:rsid w:val="003A7139"/>
    <w:rsid w:val="003B3631"/>
    <w:rsid w:val="003B3CC7"/>
    <w:rsid w:val="003B44D5"/>
    <w:rsid w:val="003C7553"/>
    <w:rsid w:val="003D3184"/>
    <w:rsid w:val="003F447D"/>
    <w:rsid w:val="003F6E63"/>
    <w:rsid w:val="00401D61"/>
    <w:rsid w:val="00411EBC"/>
    <w:rsid w:val="00413A7D"/>
    <w:rsid w:val="0041434E"/>
    <w:rsid w:val="004145EC"/>
    <w:rsid w:val="00416B9D"/>
    <w:rsid w:val="00417987"/>
    <w:rsid w:val="0043116C"/>
    <w:rsid w:val="00433E45"/>
    <w:rsid w:val="004413D2"/>
    <w:rsid w:val="0045420A"/>
    <w:rsid w:val="004546E0"/>
    <w:rsid w:val="004565D7"/>
    <w:rsid w:val="00464C4D"/>
    <w:rsid w:val="00466A8F"/>
    <w:rsid w:val="004742AF"/>
    <w:rsid w:val="00474555"/>
    <w:rsid w:val="00482894"/>
    <w:rsid w:val="00483B5E"/>
    <w:rsid w:val="004844FB"/>
    <w:rsid w:val="00486810"/>
    <w:rsid w:val="00490B20"/>
    <w:rsid w:val="00491040"/>
    <w:rsid w:val="00491409"/>
    <w:rsid w:val="00493AD5"/>
    <w:rsid w:val="00496C3A"/>
    <w:rsid w:val="004A28CB"/>
    <w:rsid w:val="004B1F69"/>
    <w:rsid w:val="004B2471"/>
    <w:rsid w:val="004B464E"/>
    <w:rsid w:val="004C00BE"/>
    <w:rsid w:val="004C0219"/>
    <w:rsid w:val="004D11E5"/>
    <w:rsid w:val="004D3345"/>
    <w:rsid w:val="004E4339"/>
    <w:rsid w:val="004F4F66"/>
    <w:rsid w:val="00501FDA"/>
    <w:rsid w:val="005022A0"/>
    <w:rsid w:val="00504A4D"/>
    <w:rsid w:val="005152BB"/>
    <w:rsid w:val="00515BFD"/>
    <w:rsid w:val="00525C2F"/>
    <w:rsid w:val="0053346B"/>
    <w:rsid w:val="00540659"/>
    <w:rsid w:val="005411E1"/>
    <w:rsid w:val="00541C70"/>
    <w:rsid w:val="00545DF1"/>
    <w:rsid w:val="00546C5D"/>
    <w:rsid w:val="00555D82"/>
    <w:rsid w:val="00563DA9"/>
    <w:rsid w:val="00564BB2"/>
    <w:rsid w:val="005674F9"/>
    <w:rsid w:val="00567608"/>
    <w:rsid w:val="00581FAC"/>
    <w:rsid w:val="005858BB"/>
    <w:rsid w:val="00587361"/>
    <w:rsid w:val="005947A5"/>
    <w:rsid w:val="00596D67"/>
    <w:rsid w:val="00596E97"/>
    <w:rsid w:val="005A5B85"/>
    <w:rsid w:val="005A5E00"/>
    <w:rsid w:val="005A7F87"/>
    <w:rsid w:val="005B216A"/>
    <w:rsid w:val="005B3045"/>
    <w:rsid w:val="005C1284"/>
    <w:rsid w:val="005C3ECC"/>
    <w:rsid w:val="005C54E8"/>
    <w:rsid w:val="005D3DCC"/>
    <w:rsid w:val="005E408E"/>
    <w:rsid w:val="005E6FFA"/>
    <w:rsid w:val="005F0988"/>
    <w:rsid w:val="005F0DF4"/>
    <w:rsid w:val="005F220B"/>
    <w:rsid w:val="005F23C1"/>
    <w:rsid w:val="005F32AF"/>
    <w:rsid w:val="005F3FB3"/>
    <w:rsid w:val="00605D91"/>
    <w:rsid w:val="00621AB1"/>
    <w:rsid w:val="0062242D"/>
    <w:rsid w:val="006236CF"/>
    <w:rsid w:val="006245CF"/>
    <w:rsid w:val="00630158"/>
    <w:rsid w:val="00640618"/>
    <w:rsid w:val="0064112B"/>
    <w:rsid w:val="006411D9"/>
    <w:rsid w:val="00645BF5"/>
    <w:rsid w:val="006559A7"/>
    <w:rsid w:val="0066648F"/>
    <w:rsid w:val="006705CD"/>
    <w:rsid w:val="00672957"/>
    <w:rsid w:val="006760E9"/>
    <w:rsid w:val="0067626D"/>
    <w:rsid w:val="00683F21"/>
    <w:rsid w:val="00685778"/>
    <w:rsid w:val="00685C01"/>
    <w:rsid w:val="006919D0"/>
    <w:rsid w:val="006926FC"/>
    <w:rsid w:val="0069387A"/>
    <w:rsid w:val="00694EF2"/>
    <w:rsid w:val="00696B7A"/>
    <w:rsid w:val="006A0673"/>
    <w:rsid w:val="006A3DFF"/>
    <w:rsid w:val="006A48E7"/>
    <w:rsid w:val="006A757B"/>
    <w:rsid w:val="006B1F9F"/>
    <w:rsid w:val="006C175F"/>
    <w:rsid w:val="006C4E9C"/>
    <w:rsid w:val="006D2CF3"/>
    <w:rsid w:val="006D4425"/>
    <w:rsid w:val="006D5248"/>
    <w:rsid w:val="006D5771"/>
    <w:rsid w:val="006D6288"/>
    <w:rsid w:val="006F35F8"/>
    <w:rsid w:val="00701D19"/>
    <w:rsid w:val="0071237C"/>
    <w:rsid w:val="00713FD1"/>
    <w:rsid w:val="0071518D"/>
    <w:rsid w:val="007211F8"/>
    <w:rsid w:val="00722BEC"/>
    <w:rsid w:val="00723D83"/>
    <w:rsid w:val="007300BD"/>
    <w:rsid w:val="007353BB"/>
    <w:rsid w:val="00755CB1"/>
    <w:rsid w:val="00757799"/>
    <w:rsid w:val="007614F2"/>
    <w:rsid w:val="0076315C"/>
    <w:rsid w:val="00766A6C"/>
    <w:rsid w:val="00766E0E"/>
    <w:rsid w:val="00770675"/>
    <w:rsid w:val="00773DB8"/>
    <w:rsid w:val="0077641E"/>
    <w:rsid w:val="00777516"/>
    <w:rsid w:val="00780CDE"/>
    <w:rsid w:val="00785DEC"/>
    <w:rsid w:val="00795817"/>
    <w:rsid w:val="007976E0"/>
    <w:rsid w:val="007A4257"/>
    <w:rsid w:val="007B2750"/>
    <w:rsid w:val="007C0043"/>
    <w:rsid w:val="007D4F9A"/>
    <w:rsid w:val="007D597A"/>
    <w:rsid w:val="007F0251"/>
    <w:rsid w:val="00803527"/>
    <w:rsid w:val="00810CF3"/>
    <w:rsid w:val="00817FEE"/>
    <w:rsid w:val="00823099"/>
    <w:rsid w:val="008235F9"/>
    <w:rsid w:val="008271AE"/>
    <w:rsid w:val="00840C46"/>
    <w:rsid w:val="00847BC2"/>
    <w:rsid w:val="00860AA8"/>
    <w:rsid w:val="008642F1"/>
    <w:rsid w:val="00872F3E"/>
    <w:rsid w:val="0087465F"/>
    <w:rsid w:val="008758BB"/>
    <w:rsid w:val="00875963"/>
    <w:rsid w:val="00876A86"/>
    <w:rsid w:val="00880FB6"/>
    <w:rsid w:val="0089326A"/>
    <w:rsid w:val="0089637C"/>
    <w:rsid w:val="008A0787"/>
    <w:rsid w:val="008A2AC0"/>
    <w:rsid w:val="008A5624"/>
    <w:rsid w:val="008A658C"/>
    <w:rsid w:val="008B307D"/>
    <w:rsid w:val="008B50B9"/>
    <w:rsid w:val="008C1BFF"/>
    <w:rsid w:val="008C6BA0"/>
    <w:rsid w:val="008E3DBC"/>
    <w:rsid w:val="008E52D7"/>
    <w:rsid w:val="008F143F"/>
    <w:rsid w:val="009026B4"/>
    <w:rsid w:val="0090412B"/>
    <w:rsid w:val="009168F1"/>
    <w:rsid w:val="0092108B"/>
    <w:rsid w:val="0093003A"/>
    <w:rsid w:val="009358FA"/>
    <w:rsid w:val="00937E5B"/>
    <w:rsid w:val="00940A55"/>
    <w:rsid w:val="00940A59"/>
    <w:rsid w:val="009414F3"/>
    <w:rsid w:val="00942240"/>
    <w:rsid w:val="00943156"/>
    <w:rsid w:val="00944B40"/>
    <w:rsid w:val="00945EB7"/>
    <w:rsid w:val="00954F52"/>
    <w:rsid w:val="009576A8"/>
    <w:rsid w:val="009578CB"/>
    <w:rsid w:val="00964A4A"/>
    <w:rsid w:val="00964DCD"/>
    <w:rsid w:val="00966C53"/>
    <w:rsid w:val="00967F2C"/>
    <w:rsid w:val="00973E86"/>
    <w:rsid w:val="009772A1"/>
    <w:rsid w:val="0098431A"/>
    <w:rsid w:val="00987166"/>
    <w:rsid w:val="0099001E"/>
    <w:rsid w:val="009914C5"/>
    <w:rsid w:val="00995A02"/>
    <w:rsid w:val="00997F54"/>
    <w:rsid w:val="009A1096"/>
    <w:rsid w:val="009A1409"/>
    <w:rsid w:val="009A5BBE"/>
    <w:rsid w:val="009B098D"/>
    <w:rsid w:val="009B1B06"/>
    <w:rsid w:val="009B5934"/>
    <w:rsid w:val="009B5AE8"/>
    <w:rsid w:val="009B6C18"/>
    <w:rsid w:val="009C37B6"/>
    <w:rsid w:val="009C3D57"/>
    <w:rsid w:val="009D2AF0"/>
    <w:rsid w:val="009D3F63"/>
    <w:rsid w:val="009D6248"/>
    <w:rsid w:val="009E3120"/>
    <w:rsid w:val="009E3FD7"/>
    <w:rsid w:val="009E48E9"/>
    <w:rsid w:val="009E5949"/>
    <w:rsid w:val="009F0055"/>
    <w:rsid w:val="009F161F"/>
    <w:rsid w:val="009F1FEF"/>
    <w:rsid w:val="009F364D"/>
    <w:rsid w:val="009F79D1"/>
    <w:rsid w:val="00A025CE"/>
    <w:rsid w:val="00A05F7B"/>
    <w:rsid w:val="00A07CC2"/>
    <w:rsid w:val="00A126AD"/>
    <w:rsid w:val="00A23B59"/>
    <w:rsid w:val="00A240CE"/>
    <w:rsid w:val="00A261BD"/>
    <w:rsid w:val="00A36256"/>
    <w:rsid w:val="00A47EF1"/>
    <w:rsid w:val="00A53FE8"/>
    <w:rsid w:val="00A56A2D"/>
    <w:rsid w:val="00A60E35"/>
    <w:rsid w:val="00A66EFD"/>
    <w:rsid w:val="00A70CBC"/>
    <w:rsid w:val="00A72524"/>
    <w:rsid w:val="00A81AA2"/>
    <w:rsid w:val="00A85CB2"/>
    <w:rsid w:val="00A872D0"/>
    <w:rsid w:val="00A90BF5"/>
    <w:rsid w:val="00AA2D0F"/>
    <w:rsid w:val="00AA3015"/>
    <w:rsid w:val="00AB2732"/>
    <w:rsid w:val="00AD1053"/>
    <w:rsid w:val="00AD1974"/>
    <w:rsid w:val="00AD6F07"/>
    <w:rsid w:val="00AE26B4"/>
    <w:rsid w:val="00AE2B72"/>
    <w:rsid w:val="00AE7124"/>
    <w:rsid w:val="00AF0710"/>
    <w:rsid w:val="00AF28AF"/>
    <w:rsid w:val="00AF4213"/>
    <w:rsid w:val="00AF4C85"/>
    <w:rsid w:val="00B03F8A"/>
    <w:rsid w:val="00B04CA3"/>
    <w:rsid w:val="00B05E97"/>
    <w:rsid w:val="00B10DC4"/>
    <w:rsid w:val="00B1142C"/>
    <w:rsid w:val="00B13BB4"/>
    <w:rsid w:val="00B201C6"/>
    <w:rsid w:val="00B3308F"/>
    <w:rsid w:val="00B50FEA"/>
    <w:rsid w:val="00B54DF6"/>
    <w:rsid w:val="00B66008"/>
    <w:rsid w:val="00B71677"/>
    <w:rsid w:val="00B72553"/>
    <w:rsid w:val="00B752D2"/>
    <w:rsid w:val="00B81E61"/>
    <w:rsid w:val="00B820BD"/>
    <w:rsid w:val="00B8214A"/>
    <w:rsid w:val="00B84FE0"/>
    <w:rsid w:val="00B858CF"/>
    <w:rsid w:val="00B94F73"/>
    <w:rsid w:val="00BA2E6B"/>
    <w:rsid w:val="00BB02B9"/>
    <w:rsid w:val="00BB1590"/>
    <w:rsid w:val="00BB5264"/>
    <w:rsid w:val="00BB5299"/>
    <w:rsid w:val="00BB62BE"/>
    <w:rsid w:val="00BB6F17"/>
    <w:rsid w:val="00BB707D"/>
    <w:rsid w:val="00BE420C"/>
    <w:rsid w:val="00BE66FA"/>
    <w:rsid w:val="00BF04B0"/>
    <w:rsid w:val="00BF4278"/>
    <w:rsid w:val="00BF64A4"/>
    <w:rsid w:val="00BF7509"/>
    <w:rsid w:val="00C03DCE"/>
    <w:rsid w:val="00C05F49"/>
    <w:rsid w:val="00C11C40"/>
    <w:rsid w:val="00C1233E"/>
    <w:rsid w:val="00C16C5B"/>
    <w:rsid w:val="00C20AD6"/>
    <w:rsid w:val="00C20EF1"/>
    <w:rsid w:val="00C22937"/>
    <w:rsid w:val="00C247A4"/>
    <w:rsid w:val="00C31ACB"/>
    <w:rsid w:val="00C32F50"/>
    <w:rsid w:val="00C33572"/>
    <w:rsid w:val="00C367E7"/>
    <w:rsid w:val="00C423ED"/>
    <w:rsid w:val="00C43CF4"/>
    <w:rsid w:val="00C532E9"/>
    <w:rsid w:val="00C55BAF"/>
    <w:rsid w:val="00C641D0"/>
    <w:rsid w:val="00C70F21"/>
    <w:rsid w:val="00C71C77"/>
    <w:rsid w:val="00C7326D"/>
    <w:rsid w:val="00C737AC"/>
    <w:rsid w:val="00C73AE6"/>
    <w:rsid w:val="00C76C32"/>
    <w:rsid w:val="00C9510C"/>
    <w:rsid w:val="00CA0CEB"/>
    <w:rsid w:val="00CA14CA"/>
    <w:rsid w:val="00CA15F4"/>
    <w:rsid w:val="00CB5D0B"/>
    <w:rsid w:val="00CC01AA"/>
    <w:rsid w:val="00CC377A"/>
    <w:rsid w:val="00CC500D"/>
    <w:rsid w:val="00CC6B9D"/>
    <w:rsid w:val="00CD0C6C"/>
    <w:rsid w:val="00CD0F06"/>
    <w:rsid w:val="00CD5B3B"/>
    <w:rsid w:val="00CD76EB"/>
    <w:rsid w:val="00CE732E"/>
    <w:rsid w:val="00CE7AE0"/>
    <w:rsid w:val="00CE7E94"/>
    <w:rsid w:val="00D0099D"/>
    <w:rsid w:val="00D029E8"/>
    <w:rsid w:val="00D058C7"/>
    <w:rsid w:val="00D05DF0"/>
    <w:rsid w:val="00D063A9"/>
    <w:rsid w:val="00D06E9C"/>
    <w:rsid w:val="00D1119D"/>
    <w:rsid w:val="00D13974"/>
    <w:rsid w:val="00D15630"/>
    <w:rsid w:val="00D257BB"/>
    <w:rsid w:val="00D354E3"/>
    <w:rsid w:val="00D417BE"/>
    <w:rsid w:val="00D442B7"/>
    <w:rsid w:val="00D46AF5"/>
    <w:rsid w:val="00D50036"/>
    <w:rsid w:val="00D578D6"/>
    <w:rsid w:val="00D60F0C"/>
    <w:rsid w:val="00D62ECE"/>
    <w:rsid w:val="00D65F36"/>
    <w:rsid w:val="00D71CB6"/>
    <w:rsid w:val="00D74E57"/>
    <w:rsid w:val="00D81702"/>
    <w:rsid w:val="00D84955"/>
    <w:rsid w:val="00D87685"/>
    <w:rsid w:val="00D9050F"/>
    <w:rsid w:val="00D92C3B"/>
    <w:rsid w:val="00D9556C"/>
    <w:rsid w:val="00DA06F5"/>
    <w:rsid w:val="00DB0691"/>
    <w:rsid w:val="00DB3FEB"/>
    <w:rsid w:val="00DB5A84"/>
    <w:rsid w:val="00DB6C1E"/>
    <w:rsid w:val="00DC1120"/>
    <w:rsid w:val="00DC4CA6"/>
    <w:rsid w:val="00DC50CA"/>
    <w:rsid w:val="00DC52BD"/>
    <w:rsid w:val="00DC6833"/>
    <w:rsid w:val="00DC7692"/>
    <w:rsid w:val="00DD0383"/>
    <w:rsid w:val="00DD5B4D"/>
    <w:rsid w:val="00DE7F34"/>
    <w:rsid w:val="00DF1998"/>
    <w:rsid w:val="00DF19F7"/>
    <w:rsid w:val="00DF4009"/>
    <w:rsid w:val="00DF7AF8"/>
    <w:rsid w:val="00E03851"/>
    <w:rsid w:val="00E038EF"/>
    <w:rsid w:val="00E04F77"/>
    <w:rsid w:val="00E1376D"/>
    <w:rsid w:val="00E21744"/>
    <w:rsid w:val="00E25966"/>
    <w:rsid w:val="00E25C04"/>
    <w:rsid w:val="00E2789E"/>
    <w:rsid w:val="00E35C64"/>
    <w:rsid w:val="00E41CF3"/>
    <w:rsid w:val="00E4510C"/>
    <w:rsid w:val="00E466E9"/>
    <w:rsid w:val="00E54287"/>
    <w:rsid w:val="00E544B1"/>
    <w:rsid w:val="00E562FC"/>
    <w:rsid w:val="00E64E53"/>
    <w:rsid w:val="00E7520E"/>
    <w:rsid w:val="00E76B52"/>
    <w:rsid w:val="00E80C61"/>
    <w:rsid w:val="00E9060C"/>
    <w:rsid w:val="00E90E95"/>
    <w:rsid w:val="00EA0E07"/>
    <w:rsid w:val="00EA50FD"/>
    <w:rsid w:val="00EB11C6"/>
    <w:rsid w:val="00EB7672"/>
    <w:rsid w:val="00EE2056"/>
    <w:rsid w:val="00EF7364"/>
    <w:rsid w:val="00F00557"/>
    <w:rsid w:val="00F0272A"/>
    <w:rsid w:val="00F205DE"/>
    <w:rsid w:val="00F23338"/>
    <w:rsid w:val="00F2439E"/>
    <w:rsid w:val="00F247E8"/>
    <w:rsid w:val="00F24DE8"/>
    <w:rsid w:val="00F26382"/>
    <w:rsid w:val="00F32749"/>
    <w:rsid w:val="00F356D6"/>
    <w:rsid w:val="00F46B27"/>
    <w:rsid w:val="00F61B6C"/>
    <w:rsid w:val="00F648B6"/>
    <w:rsid w:val="00F66958"/>
    <w:rsid w:val="00F67416"/>
    <w:rsid w:val="00F675F0"/>
    <w:rsid w:val="00F72D51"/>
    <w:rsid w:val="00F73428"/>
    <w:rsid w:val="00F8021B"/>
    <w:rsid w:val="00F82637"/>
    <w:rsid w:val="00F84954"/>
    <w:rsid w:val="00F85103"/>
    <w:rsid w:val="00F96089"/>
    <w:rsid w:val="00FA1984"/>
    <w:rsid w:val="00FA6C72"/>
    <w:rsid w:val="00FB0020"/>
    <w:rsid w:val="00FB0230"/>
    <w:rsid w:val="00FB6D27"/>
    <w:rsid w:val="00FC4284"/>
    <w:rsid w:val="00FD198C"/>
    <w:rsid w:val="00FD6F7B"/>
    <w:rsid w:val="00FE2F2C"/>
    <w:rsid w:val="00FF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B0C883"/>
  <w14:defaultImageDpi w14:val="300"/>
  <w15:docId w15:val="{F5A9B4CF-F83C-4D03-823A-374F15FAD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8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05DF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3F63"/>
    <w:pPr>
      <w:overflowPunct w:val="0"/>
      <w:autoSpaceDE w:val="0"/>
      <w:autoSpaceDN w:val="0"/>
      <w:adjustRightInd w:val="0"/>
      <w:spacing w:after="0" w:line="240" w:lineRule="auto"/>
      <w:ind w:left="720"/>
      <w:jc w:val="left"/>
      <w:textAlignment w:val="baseline"/>
    </w:pPr>
    <w:rPr>
      <w:rFonts w:ascii="Tms Rmn" w:eastAsia="Times New Roman" w:hAnsi="Tms Rmn"/>
      <w:noProof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CommentReference">
    <w:name w:val="annotation reference"/>
    <w:basedOn w:val="DefaultParagraphFont"/>
    <w:uiPriority w:val="99"/>
    <w:semiHidden/>
    <w:unhideWhenUsed/>
    <w:rsid w:val="000E5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5916"/>
    <w:pPr>
      <w:spacing w:after="160" w:line="240" w:lineRule="auto"/>
      <w:ind w:left="0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5916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F7B"/>
    <w:pPr>
      <w:spacing w:after="120"/>
      <w:ind w:left="1701"/>
      <w:jc w:val="both"/>
    </w:pPr>
    <w:rPr>
      <w:rFonts w:ascii="Trebuchet MS" w:eastAsia="MS Mincho" w:hAnsi="Trebuchet MS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F7B"/>
    <w:rPr>
      <w:rFonts w:ascii="Trebuchet MS" w:eastAsiaTheme="minorHAnsi" w:hAnsi="Trebuchet MS" w:cstheme="minorBidi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8B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38E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38EF"/>
    <w:rPr>
      <w:rFonts w:ascii="Trebuchet MS" w:hAnsi="Trebuchet MS"/>
    </w:rPr>
  </w:style>
  <w:style w:type="character" w:styleId="FootnoteReference">
    <w:name w:val="footnote reference"/>
    <w:basedOn w:val="DefaultParagraphFont"/>
    <w:uiPriority w:val="99"/>
    <w:semiHidden/>
    <w:unhideWhenUsed/>
    <w:rsid w:val="00E038EF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F071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eurolegis\ro\index\act\31028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file:///D:\eurolegis\ro\index\act\14398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file:///D:\eurolegis\ro\index\act\23258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anap.gov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anap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files\Viorel.Streza\Desktop\template%20min%204%20radu\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8229D-F636-4483-AC73-812C39A5D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4</Pages>
  <Words>1366</Words>
  <Characters>7787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9135</CharactersWithSpaces>
  <SharedDoc>false</SharedDoc>
  <HLinks>
    <vt:vector size="12" baseType="variant">
      <vt:variant>
        <vt:i4>458786</vt:i4>
      </vt:variant>
      <vt:variant>
        <vt:i4>5514</vt:i4>
      </vt:variant>
      <vt:variant>
        <vt:i4>1026</vt:i4>
      </vt:variant>
      <vt:variant>
        <vt:i4>1</vt:i4>
      </vt:variant>
      <vt:variant>
        <vt:lpwstr>logo_antet_dep_energie_p2</vt:lpwstr>
      </vt:variant>
      <vt:variant>
        <vt:lpwstr/>
      </vt:variant>
      <vt:variant>
        <vt:i4>7798863</vt:i4>
      </vt:variant>
      <vt:variant>
        <vt:i4>7856</vt:i4>
      </vt:variant>
      <vt:variant>
        <vt:i4>1025</vt:i4>
      </vt:variant>
      <vt:variant>
        <vt:i4>1</vt:i4>
      </vt:variant>
      <vt:variant>
        <vt:lpwstr>logo_antet_dep_energie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Viorel Streza</dc:creator>
  <cp:lastModifiedBy>Cezara Balanescu</cp:lastModifiedBy>
  <cp:revision>2</cp:revision>
  <cp:lastPrinted>2020-12-03T15:17:00Z</cp:lastPrinted>
  <dcterms:created xsi:type="dcterms:W3CDTF">2022-07-25T12:22:00Z</dcterms:created>
  <dcterms:modified xsi:type="dcterms:W3CDTF">2022-07-25T12:22:00Z</dcterms:modified>
</cp:coreProperties>
</file>