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F746" w14:textId="77777777" w:rsidR="000558A7" w:rsidRPr="00E75006" w:rsidRDefault="000558A7" w:rsidP="00E75006">
      <w:pPr>
        <w:spacing w:line="276" w:lineRule="auto"/>
        <w:jc w:val="center"/>
        <w:rPr>
          <w:rFonts w:ascii="Trebuchet MS" w:hAnsi="Trebuchet MS" w:cs="Times New Roman"/>
          <w:b/>
          <w:bCs/>
          <w:color w:val="212121"/>
          <w:lang w:eastAsia="en-US"/>
        </w:rPr>
      </w:pPr>
      <w:r w:rsidRPr="00E75006">
        <w:rPr>
          <w:rFonts w:ascii="Trebuchet MS" w:hAnsi="Trebuchet MS" w:cs="Times New Roman"/>
          <w:b/>
          <w:bCs/>
          <w:color w:val="212121"/>
          <w:lang w:eastAsia="en-US"/>
        </w:rPr>
        <w:t>NOTIFICARE</w:t>
      </w:r>
    </w:p>
    <w:p w14:paraId="0FF7DD35" w14:textId="1D96FB74" w:rsidR="005275BD" w:rsidRDefault="00952331" w:rsidP="00792173">
      <w:pPr>
        <w:spacing w:line="276" w:lineRule="auto"/>
        <w:jc w:val="center"/>
        <w:rPr>
          <w:rFonts w:ascii="Trebuchet MS" w:hAnsi="Trebuchet MS" w:cs="Times New Roman"/>
          <w:bCs/>
          <w:i/>
          <w:color w:val="212121"/>
          <w:lang w:eastAsia="en-US"/>
        </w:rPr>
      </w:pPr>
      <w:r w:rsidRPr="00952331">
        <w:rPr>
          <w:rFonts w:ascii="Trebuchet MS" w:hAnsi="Trebuchet MS" w:cs="Times New Roman"/>
          <w:bCs/>
          <w:i/>
          <w:color w:val="212121"/>
          <w:lang w:eastAsia="en-US"/>
        </w:rPr>
        <w:t xml:space="preserve">privind publicarea la data de </w:t>
      </w:r>
      <w:r w:rsidR="00A938AB" w:rsidRPr="00A938AB">
        <w:rPr>
          <w:rFonts w:ascii="Trebuchet MS" w:hAnsi="Trebuchet MS" w:cs="Times New Roman"/>
          <w:bCs/>
          <w:i/>
          <w:color w:val="212121"/>
          <w:lang w:eastAsia="en-US"/>
        </w:rPr>
        <w:t xml:space="preserve">23 octombrie 2025  </w:t>
      </w:r>
      <w:r w:rsidRPr="00952331">
        <w:rPr>
          <w:rFonts w:ascii="Trebuchet MS" w:hAnsi="Trebuchet MS" w:cs="Times New Roman"/>
          <w:bCs/>
          <w:i/>
          <w:color w:val="212121"/>
          <w:lang w:eastAsia="en-US"/>
        </w:rPr>
        <w:t>a celui de al 1</w:t>
      </w:r>
      <w:r w:rsidR="00A938AB">
        <w:rPr>
          <w:rFonts w:ascii="Trebuchet MS" w:hAnsi="Trebuchet MS" w:cs="Times New Roman"/>
          <w:bCs/>
          <w:i/>
          <w:color w:val="212121"/>
          <w:lang w:eastAsia="en-US"/>
        </w:rPr>
        <w:t>9</w:t>
      </w:r>
      <w:r w:rsidRPr="00952331">
        <w:rPr>
          <w:rFonts w:ascii="Trebuchet MS" w:hAnsi="Trebuchet MS" w:cs="Times New Roman"/>
          <w:bCs/>
          <w:i/>
          <w:color w:val="212121"/>
          <w:lang w:eastAsia="en-US"/>
        </w:rPr>
        <w:t>-lea pachet de măsuri restrictive la adresa Federației Ruse</w:t>
      </w:r>
    </w:p>
    <w:p w14:paraId="5AB19922" w14:textId="77777777" w:rsidR="00952331" w:rsidRDefault="00952331" w:rsidP="005275BD">
      <w:pPr>
        <w:spacing w:line="276" w:lineRule="auto"/>
        <w:jc w:val="both"/>
        <w:rPr>
          <w:rFonts w:ascii="Trebuchet MS" w:hAnsi="Trebuchet MS" w:cs="Times New Roman"/>
          <w:bCs/>
          <w:color w:val="212121"/>
          <w:lang w:eastAsia="en-US"/>
        </w:rPr>
      </w:pPr>
    </w:p>
    <w:p w14:paraId="6581DCCB" w14:textId="0E400FF3" w:rsidR="00952331" w:rsidRPr="00173A9C" w:rsidRDefault="00952331" w:rsidP="00952331">
      <w:pPr>
        <w:spacing w:line="276" w:lineRule="auto"/>
        <w:jc w:val="both"/>
        <w:rPr>
          <w:rFonts w:ascii="Trebuchet MS" w:hAnsi="Trebuchet MS"/>
          <w:lang w:val="fr-BE"/>
        </w:rPr>
      </w:pPr>
      <w:proofErr w:type="spellStart"/>
      <w:r w:rsidRPr="00173A9C">
        <w:rPr>
          <w:rFonts w:ascii="Trebuchet MS" w:hAnsi="Trebuchet MS"/>
          <w:lang w:val="fr-BE"/>
        </w:rPr>
        <w:t>În</w:t>
      </w:r>
      <w:proofErr w:type="spellEnd"/>
      <w:r w:rsidRPr="00173A9C">
        <w:rPr>
          <w:rFonts w:ascii="Trebuchet MS" w:hAnsi="Trebuchet MS"/>
          <w:lang w:val="fr-BE"/>
        </w:rPr>
        <w:t xml:space="preserve"> </w:t>
      </w:r>
      <w:proofErr w:type="spellStart"/>
      <w:r w:rsidRPr="00173A9C">
        <w:rPr>
          <w:rFonts w:ascii="Trebuchet MS" w:hAnsi="Trebuchet MS"/>
          <w:lang w:val="fr-BE"/>
        </w:rPr>
        <w:t>contextul</w:t>
      </w:r>
      <w:proofErr w:type="spellEnd"/>
      <w:r w:rsidRPr="00173A9C">
        <w:rPr>
          <w:rFonts w:ascii="Trebuchet MS" w:hAnsi="Trebuchet MS"/>
          <w:lang w:val="fr-BE"/>
        </w:rPr>
        <w:t xml:space="preserve"> </w:t>
      </w:r>
      <w:proofErr w:type="spellStart"/>
      <w:r w:rsidRPr="00173A9C">
        <w:rPr>
          <w:rFonts w:ascii="Trebuchet MS" w:hAnsi="Trebuchet MS"/>
          <w:lang w:val="fr-BE"/>
        </w:rPr>
        <w:t>războiului</w:t>
      </w:r>
      <w:proofErr w:type="spellEnd"/>
      <w:r w:rsidRPr="00173A9C">
        <w:rPr>
          <w:rFonts w:ascii="Trebuchet MS" w:hAnsi="Trebuchet MS"/>
          <w:lang w:val="fr-BE"/>
        </w:rPr>
        <w:t xml:space="preserve"> de </w:t>
      </w:r>
      <w:proofErr w:type="spellStart"/>
      <w:r w:rsidRPr="00173A9C">
        <w:rPr>
          <w:rFonts w:ascii="Trebuchet MS" w:hAnsi="Trebuchet MS"/>
          <w:lang w:val="fr-BE"/>
        </w:rPr>
        <w:t>agresiune</w:t>
      </w:r>
      <w:proofErr w:type="spellEnd"/>
      <w:r w:rsidRPr="00173A9C">
        <w:rPr>
          <w:rFonts w:ascii="Trebuchet MS" w:hAnsi="Trebuchet MS"/>
          <w:lang w:val="fr-BE"/>
        </w:rPr>
        <w:t xml:space="preserve"> al </w:t>
      </w:r>
      <w:proofErr w:type="spellStart"/>
      <w:r w:rsidRPr="00173A9C">
        <w:rPr>
          <w:rFonts w:ascii="Trebuchet MS" w:hAnsi="Trebuchet MS"/>
          <w:lang w:val="fr-BE"/>
        </w:rPr>
        <w:t>Rusiei</w:t>
      </w:r>
      <w:proofErr w:type="spellEnd"/>
      <w:r w:rsidRPr="00173A9C">
        <w:rPr>
          <w:rFonts w:ascii="Trebuchet MS" w:hAnsi="Trebuchet MS"/>
          <w:lang w:val="fr-BE"/>
        </w:rPr>
        <w:t xml:space="preserve"> </w:t>
      </w:r>
      <w:proofErr w:type="spellStart"/>
      <w:r w:rsidRPr="00173A9C">
        <w:rPr>
          <w:rFonts w:ascii="Trebuchet MS" w:hAnsi="Trebuchet MS"/>
          <w:lang w:val="fr-BE"/>
        </w:rPr>
        <w:t>împotriva</w:t>
      </w:r>
      <w:proofErr w:type="spellEnd"/>
      <w:r w:rsidRPr="00173A9C">
        <w:rPr>
          <w:rFonts w:ascii="Trebuchet MS" w:hAnsi="Trebuchet MS"/>
          <w:lang w:val="fr-BE"/>
        </w:rPr>
        <w:t xml:space="preserve"> </w:t>
      </w:r>
      <w:proofErr w:type="spellStart"/>
      <w:r w:rsidRPr="00173A9C">
        <w:rPr>
          <w:rFonts w:ascii="Trebuchet MS" w:hAnsi="Trebuchet MS"/>
          <w:lang w:val="fr-BE"/>
        </w:rPr>
        <w:t>Ucrainei</w:t>
      </w:r>
      <w:proofErr w:type="spellEnd"/>
      <w:r w:rsidRPr="00173A9C">
        <w:rPr>
          <w:rFonts w:ascii="Trebuchet MS" w:hAnsi="Trebuchet MS"/>
          <w:lang w:val="fr-BE"/>
        </w:rPr>
        <w:t xml:space="preserve">, </w:t>
      </w:r>
      <w:proofErr w:type="spellStart"/>
      <w:r w:rsidRPr="00173A9C">
        <w:rPr>
          <w:rFonts w:ascii="Trebuchet MS" w:hAnsi="Trebuchet MS"/>
          <w:lang w:val="fr-BE"/>
        </w:rPr>
        <w:t>Consiliul</w:t>
      </w:r>
      <w:proofErr w:type="spellEnd"/>
      <w:r w:rsidRPr="00173A9C">
        <w:rPr>
          <w:rFonts w:ascii="Trebuchet MS" w:hAnsi="Trebuchet MS"/>
          <w:lang w:val="fr-BE"/>
        </w:rPr>
        <w:t xml:space="preserve"> </w:t>
      </w:r>
      <w:proofErr w:type="spellStart"/>
      <w:r w:rsidRPr="00173A9C">
        <w:rPr>
          <w:rFonts w:ascii="Trebuchet MS" w:hAnsi="Trebuchet MS"/>
          <w:lang w:val="fr-BE"/>
        </w:rPr>
        <w:t>Uniunii</w:t>
      </w:r>
      <w:proofErr w:type="spellEnd"/>
      <w:r w:rsidRPr="00173A9C">
        <w:rPr>
          <w:rFonts w:ascii="Trebuchet MS" w:hAnsi="Trebuchet MS"/>
          <w:lang w:val="fr-BE"/>
        </w:rPr>
        <w:t xml:space="preserve"> </w:t>
      </w:r>
      <w:proofErr w:type="spellStart"/>
      <w:r w:rsidRPr="00173A9C">
        <w:rPr>
          <w:rFonts w:ascii="Trebuchet MS" w:hAnsi="Trebuchet MS"/>
          <w:lang w:val="fr-BE"/>
        </w:rPr>
        <w:t>Europene</w:t>
      </w:r>
      <w:proofErr w:type="spellEnd"/>
      <w:r w:rsidRPr="00173A9C">
        <w:rPr>
          <w:rFonts w:ascii="Trebuchet MS" w:hAnsi="Trebuchet MS"/>
          <w:lang w:val="fr-BE"/>
        </w:rPr>
        <w:t xml:space="preserve"> a </w:t>
      </w:r>
      <w:proofErr w:type="spellStart"/>
      <w:r w:rsidRPr="00173A9C">
        <w:rPr>
          <w:rFonts w:ascii="Trebuchet MS" w:hAnsi="Trebuchet MS"/>
          <w:lang w:val="fr-BE"/>
        </w:rPr>
        <w:t>adoptat</w:t>
      </w:r>
      <w:proofErr w:type="spellEnd"/>
      <w:r w:rsidRPr="00173A9C">
        <w:rPr>
          <w:rFonts w:ascii="Trebuchet MS" w:hAnsi="Trebuchet MS"/>
          <w:lang w:val="fr-BE"/>
        </w:rPr>
        <w:t>,</w:t>
      </w:r>
      <w:r w:rsidR="00A938AB" w:rsidRPr="00173A9C">
        <w:rPr>
          <w:rFonts w:ascii="Trebuchet MS" w:hAnsi="Trebuchet MS"/>
          <w:lang w:val="fr-BE"/>
        </w:rPr>
        <w:t xml:space="preserve"> la data de 23 </w:t>
      </w:r>
      <w:proofErr w:type="spellStart"/>
      <w:r w:rsidR="00A938AB" w:rsidRPr="00173A9C">
        <w:rPr>
          <w:rFonts w:ascii="Trebuchet MS" w:hAnsi="Trebuchet MS"/>
          <w:lang w:val="fr-BE"/>
        </w:rPr>
        <w:t>octombrie</w:t>
      </w:r>
      <w:proofErr w:type="spellEnd"/>
      <w:r w:rsidR="00A938AB" w:rsidRPr="00173A9C">
        <w:rPr>
          <w:rFonts w:ascii="Trebuchet MS" w:hAnsi="Trebuchet MS"/>
          <w:lang w:val="fr-BE"/>
        </w:rPr>
        <w:t xml:space="preserve"> 2025,</w:t>
      </w:r>
      <w:r w:rsidRPr="00173A9C">
        <w:rPr>
          <w:rFonts w:ascii="Trebuchet MS" w:hAnsi="Trebuchet MS"/>
          <w:lang w:val="fr-BE"/>
        </w:rPr>
        <w:t xml:space="preserve"> </w:t>
      </w:r>
      <w:proofErr w:type="spellStart"/>
      <w:r w:rsidRPr="00173A9C">
        <w:rPr>
          <w:rFonts w:ascii="Trebuchet MS" w:hAnsi="Trebuchet MS"/>
          <w:lang w:val="fr-BE"/>
        </w:rPr>
        <w:t>cel</w:t>
      </w:r>
      <w:proofErr w:type="spellEnd"/>
      <w:r w:rsidRPr="00173A9C">
        <w:rPr>
          <w:rFonts w:ascii="Trebuchet MS" w:hAnsi="Trebuchet MS"/>
          <w:lang w:val="fr-BE"/>
        </w:rPr>
        <w:t xml:space="preserve"> </w:t>
      </w:r>
      <w:proofErr w:type="spellStart"/>
      <w:r w:rsidRPr="00173A9C">
        <w:rPr>
          <w:rFonts w:ascii="Trebuchet MS" w:hAnsi="Trebuchet MS"/>
          <w:lang w:val="fr-BE"/>
        </w:rPr>
        <w:t>de-al</w:t>
      </w:r>
      <w:proofErr w:type="spellEnd"/>
      <w:r w:rsidRPr="00173A9C">
        <w:rPr>
          <w:rFonts w:ascii="Trebuchet MS" w:hAnsi="Trebuchet MS"/>
          <w:lang w:val="fr-BE"/>
        </w:rPr>
        <w:t xml:space="preserve"> 1</w:t>
      </w:r>
      <w:r w:rsidR="00A938AB" w:rsidRPr="00173A9C">
        <w:rPr>
          <w:rFonts w:ascii="Trebuchet MS" w:hAnsi="Trebuchet MS"/>
          <w:lang w:val="fr-BE"/>
        </w:rPr>
        <w:t>9</w:t>
      </w:r>
      <w:r w:rsidRPr="00173A9C">
        <w:rPr>
          <w:rFonts w:ascii="Trebuchet MS" w:hAnsi="Trebuchet MS"/>
          <w:lang w:val="fr-BE"/>
        </w:rPr>
        <w:t xml:space="preserve">-lea </w:t>
      </w:r>
      <w:proofErr w:type="spellStart"/>
      <w:r w:rsidRPr="00173A9C">
        <w:rPr>
          <w:rFonts w:ascii="Trebuchet MS" w:hAnsi="Trebuchet MS"/>
          <w:lang w:val="fr-BE"/>
        </w:rPr>
        <w:t>pachet</w:t>
      </w:r>
      <w:proofErr w:type="spellEnd"/>
      <w:r w:rsidRPr="00173A9C">
        <w:rPr>
          <w:rFonts w:ascii="Trebuchet MS" w:hAnsi="Trebuchet MS"/>
          <w:lang w:val="fr-BE"/>
        </w:rPr>
        <w:t xml:space="preserve"> de </w:t>
      </w:r>
      <w:proofErr w:type="spellStart"/>
      <w:r w:rsidRPr="00173A9C">
        <w:rPr>
          <w:rFonts w:ascii="Trebuchet MS" w:hAnsi="Trebuchet MS"/>
          <w:lang w:val="fr-BE"/>
        </w:rPr>
        <w:t>sancțiuni</w:t>
      </w:r>
      <w:proofErr w:type="spellEnd"/>
      <w:r w:rsidRPr="00173A9C">
        <w:rPr>
          <w:rFonts w:ascii="Trebuchet MS" w:hAnsi="Trebuchet MS"/>
          <w:lang w:val="fr-BE"/>
        </w:rPr>
        <w:t xml:space="preserve"> </w:t>
      </w:r>
      <w:proofErr w:type="spellStart"/>
      <w:r w:rsidRPr="00173A9C">
        <w:rPr>
          <w:rFonts w:ascii="Trebuchet MS" w:hAnsi="Trebuchet MS"/>
          <w:lang w:val="fr-BE"/>
        </w:rPr>
        <w:t>împotriva</w:t>
      </w:r>
      <w:proofErr w:type="spellEnd"/>
      <w:r w:rsidRPr="00173A9C">
        <w:rPr>
          <w:rFonts w:ascii="Trebuchet MS" w:hAnsi="Trebuchet MS"/>
          <w:lang w:val="fr-BE"/>
        </w:rPr>
        <w:t xml:space="preserve"> </w:t>
      </w:r>
      <w:proofErr w:type="spellStart"/>
      <w:r w:rsidRPr="00173A9C">
        <w:rPr>
          <w:rFonts w:ascii="Trebuchet MS" w:hAnsi="Trebuchet MS"/>
          <w:lang w:val="fr-BE"/>
        </w:rPr>
        <w:t>Federației</w:t>
      </w:r>
      <w:proofErr w:type="spellEnd"/>
      <w:r w:rsidRPr="00173A9C">
        <w:rPr>
          <w:rFonts w:ascii="Trebuchet MS" w:hAnsi="Trebuchet MS"/>
          <w:lang w:val="fr-BE"/>
        </w:rPr>
        <w:t xml:space="preserve"> Ruse. </w:t>
      </w:r>
    </w:p>
    <w:p w14:paraId="5D50BCE8" w14:textId="77777777" w:rsidR="00792173" w:rsidRPr="00173A9C" w:rsidRDefault="00792173" w:rsidP="00952331">
      <w:pPr>
        <w:spacing w:line="276" w:lineRule="auto"/>
        <w:jc w:val="both"/>
        <w:rPr>
          <w:rFonts w:ascii="Trebuchet MS" w:hAnsi="Trebuchet MS"/>
          <w:lang w:val="fr-BE"/>
        </w:rPr>
      </w:pPr>
    </w:p>
    <w:p w14:paraId="61B831F3" w14:textId="77777777" w:rsidR="00A938AB" w:rsidRPr="00173A9C" w:rsidRDefault="00A938AB" w:rsidP="00A938AB">
      <w:pPr>
        <w:pStyle w:val="NormalWeb"/>
        <w:jc w:val="both"/>
        <w:rPr>
          <w:rFonts w:ascii="Trebuchet MS" w:hAnsi="Trebuchet MS"/>
          <w:color w:val="000000"/>
          <w:sz w:val="22"/>
          <w:szCs w:val="22"/>
        </w:rPr>
      </w:pPr>
      <w:r w:rsidRPr="00173A9C">
        <w:rPr>
          <w:rFonts w:ascii="Trebuchet MS" w:hAnsi="Trebuchet MS"/>
          <w:color w:val="000000"/>
          <w:sz w:val="22"/>
          <w:szCs w:val="22"/>
        </w:rPr>
        <w:t>Acesta cuprinde, printre altele, următoarele tipuri de măsuri:</w:t>
      </w:r>
    </w:p>
    <w:p w14:paraId="7F570B40" w14:textId="77777777" w:rsidR="00173A9C" w:rsidRPr="00173A9C" w:rsidRDefault="00A938AB" w:rsidP="00E27D19">
      <w:pPr>
        <w:numPr>
          <w:ilvl w:val="0"/>
          <w:numId w:val="9"/>
        </w:numPr>
        <w:spacing w:before="100" w:beforeAutospacing="1" w:after="100" w:afterAutospacing="1"/>
        <w:jc w:val="both"/>
        <w:rPr>
          <w:rStyle w:val="Strong"/>
          <w:rFonts w:ascii="Trebuchet MS" w:hAnsi="Trebuchet MS"/>
          <w:b w:val="0"/>
          <w:bCs w:val="0"/>
          <w:color w:val="000000"/>
        </w:rPr>
      </w:pPr>
      <w:r w:rsidRPr="00BD63A4">
        <w:rPr>
          <w:rStyle w:val="Strong"/>
          <w:rFonts w:ascii="Trebuchet MS" w:hAnsi="Trebuchet MS"/>
          <w:bCs w:val="0"/>
          <w:color w:val="000000"/>
        </w:rPr>
        <w:t>Noi listări individuale</w:t>
      </w:r>
      <w:r w:rsidRPr="00173A9C">
        <w:rPr>
          <w:rStyle w:val="Strong"/>
          <w:rFonts w:ascii="Trebuchet MS" w:hAnsi="Trebuchet MS"/>
          <w:b w:val="0"/>
          <w:color w:val="000000"/>
        </w:rPr>
        <w:t>;</w:t>
      </w:r>
    </w:p>
    <w:p w14:paraId="1067C1A5" w14:textId="495790C2" w:rsidR="00173A9C" w:rsidRPr="00173A9C" w:rsidRDefault="00A938AB" w:rsidP="00E27D19">
      <w:pPr>
        <w:numPr>
          <w:ilvl w:val="0"/>
          <w:numId w:val="9"/>
        </w:numPr>
        <w:spacing w:before="100" w:beforeAutospacing="1" w:after="100" w:afterAutospacing="1"/>
        <w:jc w:val="both"/>
        <w:rPr>
          <w:rStyle w:val="Emphasis"/>
          <w:rFonts w:ascii="Trebuchet MS" w:hAnsi="Trebuchet MS"/>
          <w:i w:val="0"/>
          <w:iCs w:val="0"/>
          <w:color w:val="000000"/>
        </w:rPr>
      </w:pPr>
      <w:r w:rsidRPr="00BD63A4">
        <w:rPr>
          <w:rStyle w:val="Strong"/>
          <w:rFonts w:ascii="Trebuchet MS" w:hAnsi="Trebuchet MS"/>
          <w:bCs w:val="0"/>
          <w:color w:val="000000"/>
        </w:rPr>
        <w:t>Sectorul energetic</w:t>
      </w:r>
      <w:r w:rsidRPr="00173A9C">
        <w:rPr>
          <w:rStyle w:val="Strong"/>
          <w:rFonts w:ascii="Trebuchet MS" w:hAnsi="Trebuchet MS"/>
          <w:b w:val="0"/>
          <w:color w:val="000000"/>
        </w:rPr>
        <w:t>:</w:t>
      </w:r>
      <w:r w:rsidRPr="00173A9C">
        <w:rPr>
          <w:rFonts w:ascii="Trebuchet MS" w:hAnsi="Trebuchet MS"/>
          <w:color w:val="000000"/>
        </w:rPr>
        <w:t> Interdicția de a achiziționa, importa sau exporta gaz natural lichefiat de origine rusească sau exportat din Rusia și interdicția de a tranzacționa cu companiile </w:t>
      </w:r>
      <w:proofErr w:type="spellStart"/>
      <w:r w:rsidRPr="00173A9C">
        <w:rPr>
          <w:rStyle w:val="Emphasis"/>
          <w:rFonts w:ascii="Trebuchet MS" w:hAnsi="Trebuchet MS"/>
          <w:color w:val="000000"/>
        </w:rPr>
        <w:t>Rosneft</w:t>
      </w:r>
      <w:proofErr w:type="spellEnd"/>
      <w:r w:rsidRPr="00173A9C">
        <w:rPr>
          <w:rFonts w:ascii="Trebuchet MS" w:hAnsi="Trebuchet MS"/>
          <w:color w:val="000000"/>
        </w:rPr>
        <w:t> și </w:t>
      </w:r>
      <w:proofErr w:type="spellStart"/>
      <w:r w:rsidRPr="00173A9C">
        <w:rPr>
          <w:rStyle w:val="Emphasis"/>
          <w:rFonts w:ascii="Trebuchet MS" w:hAnsi="Trebuchet MS"/>
          <w:color w:val="000000"/>
        </w:rPr>
        <w:t>Gazprom</w:t>
      </w:r>
      <w:proofErr w:type="spellEnd"/>
      <w:r w:rsidRPr="00173A9C">
        <w:rPr>
          <w:rStyle w:val="Emphasis"/>
          <w:rFonts w:ascii="Trebuchet MS" w:hAnsi="Trebuchet MS"/>
          <w:color w:val="000000"/>
        </w:rPr>
        <w:t xml:space="preserve"> </w:t>
      </w:r>
      <w:proofErr w:type="spellStart"/>
      <w:r w:rsidRPr="00173A9C">
        <w:rPr>
          <w:rStyle w:val="Emphasis"/>
          <w:rFonts w:ascii="Trebuchet MS" w:hAnsi="Trebuchet MS"/>
          <w:color w:val="000000"/>
        </w:rPr>
        <w:t>Neft</w:t>
      </w:r>
      <w:proofErr w:type="spellEnd"/>
      <w:r w:rsidRPr="00173A9C">
        <w:rPr>
          <w:rStyle w:val="Emphasis"/>
          <w:rFonts w:ascii="Trebuchet MS" w:hAnsi="Trebuchet MS"/>
          <w:color w:val="000000"/>
        </w:rPr>
        <w:t>.</w:t>
      </w:r>
    </w:p>
    <w:p w14:paraId="18C0FD08" w14:textId="777C9C3F" w:rsidR="00A938AB" w:rsidRPr="00173A9C" w:rsidRDefault="00A938AB" w:rsidP="002F7E8F">
      <w:pPr>
        <w:numPr>
          <w:ilvl w:val="0"/>
          <w:numId w:val="9"/>
        </w:numPr>
        <w:spacing w:before="100" w:beforeAutospacing="1" w:after="100" w:afterAutospacing="1"/>
        <w:jc w:val="both"/>
        <w:rPr>
          <w:rFonts w:ascii="Trebuchet MS" w:hAnsi="Trebuchet MS"/>
          <w:color w:val="000000"/>
        </w:rPr>
      </w:pPr>
      <w:r w:rsidRPr="00BD63A4">
        <w:rPr>
          <w:rStyle w:val="Strong"/>
          <w:rFonts w:ascii="Trebuchet MS" w:hAnsi="Trebuchet MS"/>
          <w:bCs w:val="0"/>
          <w:color w:val="000000"/>
        </w:rPr>
        <w:t>Restricții privind flota fantomă</w:t>
      </w:r>
      <w:r w:rsidRPr="00173A9C">
        <w:rPr>
          <w:rStyle w:val="Strong"/>
          <w:rFonts w:ascii="Trebuchet MS" w:hAnsi="Trebuchet MS"/>
          <w:b w:val="0"/>
          <w:color w:val="000000"/>
        </w:rPr>
        <w:t>: </w:t>
      </w:r>
      <w:r w:rsidRPr="00173A9C">
        <w:rPr>
          <w:rFonts w:ascii="Trebuchet MS" w:hAnsi="Trebuchet MS"/>
          <w:color w:val="000000"/>
        </w:rPr>
        <w:t>Listarea de nave suplimentare care fac obiectul interdicției de acces în port și al interdicției privind furnizarea de servicii legate de transportul maritim. Adițional, se introduce interdicția participării la tranzacții care implică porturile și ecluzele din Rusia.</w:t>
      </w:r>
    </w:p>
    <w:p w14:paraId="3EB7ED47" w14:textId="77777777" w:rsidR="00A938AB" w:rsidRPr="00173A9C" w:rsidRDefault="00A938AB" w:rsidP="00A938AB">
      <w:pPr>
        <w:numPr>
          <w:ilvl w:val="0"/>
          <w:numId w:val="9"/>
        </w:numPr>
        <w:spacing w:before="100" w:beforeAutospacing="1" w:after="100" w:afterAutospacing="1"/>
        <w:jc w:val="both"/>
        <w:rPr>
          <w:rFonts w:ascii="Trebuchet MS" w:hAnsi="Trebuchet MS"/>
          <w:color w:val="000000"/>
        </w:rPr>
      </w:pPr>
      <w:r w:rsidRPr="00BD63A4">
        <w:rPr>
          <w:rStyle w:val="Strong"/>
          <w:rFonts w:ascii="Trebuchet MS" w:hAnsi="Trebuchet MS"/>
          <w:bCs w:val="0"/>
          <w:color w:val="000000"/>
        </w:rPr>
        <w:t>Sectorul bancar</w:t>
      </w:r>
      <w:r w:rsidRPr="00173A9C">
        <w:rPr>
          <w:rStyle w:val="Strong"/>
          <w:rFonts w:ascii="Trebuchet MS" w:hAnsi="Trebuchet MS"/>
          <w:b w:val="0"/>
          <w:color w:val="000000"/>
        </w:rPr>
        <w:t>:</w:t>
      </w:r>
      <w:r w:rsidRPr="00173A9C">
        <w:rPr>
          <w:rFonts w:ascii="Trebuchet MS" w:hAnsi="Trebuchet MS"/>
          <w:color w:val="000000"/>
        </w:rPr>
        <w:t xml:space="preserve"> Măsuri restrictive privind platformele de </w:t>
      </w:r>
      <w:proofErr w:type="spellStart"/>
      <w:r w:rsidRPr="00173A9C">
        <w:rPr>
          <w:rFonts w:ascii="Trebuchet MS" w:hAnsi="Trebuchet MS"/>
          <w:color w:val="000000"/>
        </w:rPr>
        <w:t>criptomonede</w:t>
      </w:r>
      <w:proofErr w:type="spellEnd"/>
      <w:r w:rsidRPr="00173A9C">
        <w:rPr>
          <w:rFonts w:ascii="Trebuchet MS" w:hAnsi="Trebuchet MS"/>
          <w:color w:val="000000"/>
        </w:rPr>
        <w:t xml:space="preserve"> și interzicerea tranzacțiilor în </w:t>
      </w:r>
      <w:proofErr w:type="spellStart"/>
      <w:r w:rsidRPr="00173A9C">
        <w:rPr>
          <w:rFonts w:ascii="Trebuchet MS" w:hAnsi="Trebuchet MS"/>
          <w:color w:val="000000"/>
        </w:rPr>
        <w:t>criptomonede</w:t>
      </w:r>
      <w:proofErr w:type="spellEnd"/>
      <w:r w:rsidRPr="00173A9C">
        <w:rPr>
          <w:rFonts w:ascii="Trebuchet MS" w:hAnsi="Trebuchet MS"/>
          <w:color w:val="000000"/>
        </w:rPr>
        <w:t>; restricționarea tranzacțiilor cu entități din zone economice speciale; interdicția de a tranzacționa cu mai multe bănci din Rusia si țări terțe precum și listarea băncilor străine conectate la sistemele alternative de servicii de plată rusești.</w:t>
      </w:r>
    </w:p>
    <w:p w14:paraId="3116A0AC" w14:textId="77777777" w:rsidR="00A938AB" w:rsidRPr="00173A9C" w:rsidRDefault="00A938AB" w:rsidP="00A938AB">
      <w:pPr>
        <w:numPr>
          <w:ilvl w:val="0"/>
          <w:numId w:val="9"/>
        </w:numPr>
        <w:spacing w:before="100" w:beforeAutospacing="1" w:after="100" w:afterAutospacing="1"/>
        <w:jc w:val="both"/>
        <w:rPr>
          <w:rFonts w:ascii="Trebuchet MS" w:hAnsi="Trebuchet MS"/>
          <w:color w:val="000000"/>
        </w:rPr>
      </w:pPr>
      <w:r w:rsidRPr="00BD63A4">
        <w:rPr>
          <w:rStyle w:val="Strong"/>
          <w:rFonts w:ascii="Trebuchet MS" w:hAnsi="Trebuchet MS"/>
          <w:bCs w:val="0"/>
          <w:color w:val="000000"/>
        </w:rPr>
        <w:t>Sectorul comercial</w:t>
      </w:r>
      <w:r w:rsidRPr="00173A9C">
        <w:rPr>
          <w:rStyle w:val="Strong"/>
          <w:rFonts w:ascii="Trebuchet MS" w:hAnsi="Trebuchet MS"/>
          <w:b w:val="0"/>
          <w:color w:val="000000"/>
        </w:rPr>
        <w:t>:</w:t>
      </w:r>
      <w:r w:rsidRPr="00173A9C">
        <w:rPr>
          <w:rFonts w:ascii="Trebuchet MS" w:hAnsi="Trebuchet MS"/>
          <w:color w:val="000000"/>
        </w:rPr>
        <w:t> Restricții suplimentare  privind exportul de produse și tehnologii; listarea de companii din Rusia și țări terțe care contribuie la complexul militar-industrial rusesc. </w:t>
      </w:r>
    </w:p>
    <w:p w14:paraId="4C1EC531" w14:textId="77777777" w:rsidR="00A938AB" w:rsidRPr="00173A9C" w:rsidRDefault="00A938AB" w:rsidP="00A938AB">
      <w:pPr>
        <w:numPr>
          <w:ilvl w:val="0"/>
          <w:numId w:val="9"/>
        </w:numPr>
        <w:spacing w:before="100" w:beforeAutospacing="1" w:after="100" w:afterAutospacing="1"/>
        <w:jc w:val="both"/>
        <w:rPr>
          <w:rFonts w:ascii="Trebuchet MS" w:hAnsi="Trebuchet MS"/>
          <w:color w:val="000000"/>
        </w:rPr>
      </w:pPr>
      <w:r w:rsidRPr="00BD63A4">
        <w:rPr>
          <w:rStyle w:val="Strong"/>
          <w:rFonts w:ascii="Trebuchet MS" w:hAnsi="Trebuchet MS"/>
          <w:bCs w:val="0"/>
          <w:color w:val="000000"/>
        </w:rPr>
        <w:t>Introducerea unui nou criteriu de listare</w:t>
      </w:r>
      <w:r w:rsidRPr="00173A9C">
        <w:rPr>
          <w:rStyle w:val="Strong"/>
          <w:rFonts w:ascii="Trebuchet MS" w:hAnsi="Trebuchet MS"/>
          <w:b w:val="0"/>
          <w:color w:val="000000"/>
        </w:rPr>
        <w:t>: </w:t>
      </w:r>
      <w:r w:rsidRPr="00173A9C">
        <w:rPr>
          <w:rFonts w:ascii="Trebuchet MS" w:hAnsi="Trebuchet MS"/>
          <w:color w:val="000000"/>
        </w:rPr>
        <w:t>Măsurile restrictive individuale vor putea fi adoptate inclusiv împotriva persoanelor sau entităților responsabile de deportarea, transferul forțat, integrarea forțată, îndoctrinarea sau educația militarizată a minorilor. </w:t>
      </w:r>
    </w:p>
    <w:p w14:paraId="537FD96B" w14:textId="77777777" w:rsidR="00A938AB" w:rsidRPr="00173A9C" w:rsidRDefault="00A938AB" w:rsidP="00A938AB">
      <w:pPr>
        <w:pStyle w:val="NormalWeb"/>
        <w:jc w:val="both"/>
        <w:rPr>
          <w:rFonts w:ascii="Trebuchet MS" w:hAnsi="Trebuchet MS"/>
          <w:color w:val="000000"/>
          <w:sz w:val="22"/>
          <w:szCs w:val="22"/>
        </w:rPr>
      </w:pPr>
      <w:r w:rsidRPr="00173A9C">
        <w:rPr>
          <w:rFonts w:ascii="Trebuchet MS" w:hAnsi="Trebuchet MS"/>
          <w:color w:val="000000"/>
          <w:sz w:val="22"/>
          <w:szCs w:val="22"/>
        </w:rPr>
        <w:t>De asemenea, Consiliul Uniunii Europene a completat pachetul 19 cu </w:t>
      </w:r>
      <w:r w:rsidRPr="00173A9C">
        <w:rPr>
          <w:rStyle w:val="Strong"/>
          <w:rFonts w:ascii="Trebuchet MS" w:hAnsi="Trebuchet MS"/>
          <w:b w:val="0"/>
          <w:color w:val="000000"/>
          <w:sz w:val="22"/>
          <w:szCs w:val="22"/>
        </w:rPr>
        <w:t>noi măsuri împotriva Belarusului</w:t>
      </w:r>
      <w:r w:rsidRPr="00173A9C">
        <w:rPr>
          <w:rFonts w:ascii="Trebuchet MS" w:hAnsi="Trebuchet MS"/>
          <w:color w:val="000000"/>
          <w:sz w:val="22"/>
          <w:szCs w:val="22"/>
        </w:rPr>
        <w:t xml:space="preserve">, având în vedere implicarea în războiul Rusiei împotriva Ucrainei, cuprinzând noi listări legate de complexul militar din Belarus; măsuri asupra comerțului din Belarus identice cu cele impuse Rusiei; interdicția serviciilor de plată legate de </w:t>
      </w:r>
      <w:proofErr w:type="spellStart"/>
      <w:r w:rsidRPr="00173A9C">
        <w:rPr>
          <w:rFonts w:ascii="Trebuchet MS" w:hAnsi="Trebuchet MS"/>
          <w:color w:val="000000"/>
          <w:sz w:val="22"/>
          <w:szCs w:val="22"/>
        </w:rPr>
        <w:t>criptomonede</w:t>
      </w:r>
      <w:proofErr w:type="spellEnd"/>
      <w:r w:rsidRPr="00173A9C">
        <w:rPr>
          <w:rFonts w:ascii="Trebuchet MS" w:hAnsi="Trebuchet MS"/>
          <w:color w:val="000000"/>
          <w:sz w:val="22"/>
          <w:szCs w:val="22"/>
        </w:rPr>
        <w:t xml:space="preserve"> și extinderea interdicției de a furniza programe software, inclusiv pentru o serie de servicii.</w:t>
      </w:r>
    </w:p>
    <w:p w14:paraId="6AC4B7EF" w14:textId="77777777" w:rsidR="00A938AB" w:rsidRPr="00173A9C" w:rsidRDefault="00A938AB" w:rsidP="00A938AB">
      <w:pPr>
        <w:pStyle w:val="NormalWeb"/>
        <w:rPr>
          <w:rFonts w:ascii="Trebuchet MS" w:hAnsi="Trebuchet MS"/>
          <w:color w:val="000000"/>
          <w:sz w:val="22"/>
          <w:szCs w:val="22"/>
        </w:rPr>
      </w:pPr>
      <w:r w:rsidRPr="00173A9C">
        <w:rPr>
          <w:rFonts w:ascii="Trebuchet MS" w:hAnsi="Trebuchet MS"/>
          <w:color w:val="000000"/>
          <w:sz w:val="22"/>
          <w:szCs w:val="22"/>
        </w:rPr>
        <w:t> </w:t>
      </w:r>
    </w:p>
    <w:p w14:paraId="17D13267" w14:textId="77777777" w:rsidR="00A938AB" w:rsidRPr="00173A9C" w:rsidRDefault="00A938AB" w:rsidP="00A938AB">
      <w:pPr>
        <w:pStyle w:val="NormalWeb"/>
        <w:rPr>
          <w:rFonts w:ascii="Trebuchet MS" w:hAnsi="Trebuchet MS"/>
          <w:color w:val="000000"/>
          <w:sz w:val="22"/>
          <w:szCs w:val="22"/>
        </w:rPr>
      </w:pPr>
      <w:r w:rsidRPr="00173A9C">
        <w:rPr>
          <w:rFonts w:ascii="Trebuchet MS" w:hAnsi="Trebuchet MS"/>
          <w:color w:val="000000"/>
          <w:sz w:val="22"/>
          <w:szCs w:val="22"/>
        </w:rPr>
        <w:t>Actele juridice corespunzătoare pachetului 19, inclusiv cele privitoare la Belarus se regăsesc accesând următoarele linkuri: </w:t>
      </w:r>
    </w:p>
    <w:p w14:paraId="4F876685" w14:textId="77777777" w:rsidR="00A938AB" w:rsidRPr="00173A9C" w:rsidRDefault="00887715" w:rsidP="00A938AB">
      <w:pPr>
        <w:numPr>
          <w:ilvl w:val="0"/>
          <w:numId w:val="10"/>
        </w:numPr>
        <w:spacing w:before="100" w:beforeAutospacing="1" w:after="100" w:afterAutospacing="1"/>
        <w:rPr>
          <w:rFonts w:ascii="Trebuchet MS" w:hAnsi="Trebuchet MS"/>
          <w:color w:val="000000"/>
        </w:rPr>
      </w:pPr>
      <w:hyperlink r:id="rId10" w:history="1">
        <w:r w:rsidR="00A938AB" w:rsidRPr="00173A9C">
          <w:rPr>
            <w:rStyle w:val="Hyperlink"/>
            <w:rFonts w:ascii="Trebuchet MS" w:hAnsi="Trebuchet MS"/>
            <w:bCs/>
          </w:rPr>
          <w:t>Regulamentul (UE) 2025/2033 al Consiliului din 23 octombrie 2025 de modificare a Regulamentului (UE) nr. 833/2014 privind măsuri restrictive având în vedere acțiunile Rusiei de destabilizare a situației în Ucraina</w:t>
        </w:r>
      </w:hyperlink>
    </w:p>
    <w:p w14:paraId="1874D2A3" w14:textId="77777777" w:rsidR="00A938AB" w:rsidRPr="00173A9C" w:rsidRDefault="00887715" w:rsidP="00A938AB">
      <w:pPr>
        <w:numPr>
          <w:ilvl w:val="0"/>
          <w:numId w:val="10"/>
        </w:numPr>
        <w:spacing w:before="100" w:beforeAutospacing="1" w:after="100" w:afterAutospacing="1"/>
        <w:rPr>
          <w:rFonts w:ascii="Trebuchet MS" w:hAnsi="Trebuchet MS"/>
          <w:color w:val="000000"/>
        </w:rPr>
      </w:pPr>
      <w:hyperlink r:id="rId11" w:history="1">
        <w:r w:rsidR="00A938AB" w:rsidRPr="00173A9C">
          <w:rPr>
            <w:rStyle w:val="Hyperlink"/>
            <w:rFonts w:ascii="Trebuchet MS" w:hAnsi="Trebuchet MS"/>
            <w:bCs/>
          </w:rPr>
          <w:t>Regulamentul (UE) 2025/2037 al Consiliului din 23 octombrie 2025 de modificare a Regulamentului (UE) nr. 269/2014 privind măsuri restrictive în raport cu acțiunile care subminează sau amenință integritatea teritorială, suveranitatea și independența Ucrainei</w:t>
        </w:r>
      </w:hyperlink>
    </w:p>
    <w:p w14:paraId="54C17448" w14:textId="77777777" w:rsidR="00A938AB" w:rsidRPr="00173A9C" w:rsidRDefault="00887715" w:rsidP="00A938AB">
      <w:pPr>
        <w:numPr>
          <w:ilvl w:val="0"/>
          <w:numId w:val="10"/>
        </w:numPr>
        <w:spacing w:before="100" w:beforeAutospacing="1" w:after="100" w:afterAutospacing="1"/>
        <w:rPr>
          <w:rFonts w:ascii="Trebuchet MS" w:hAnsi="Trebuchet MS"/>
          <w:color w:val="000000"/>
        </w:rPr>
      </w:pPr>
      <w:hyperlink r:id="rId12" w:history="1">
        <w:r w:rsidR="00A938AB" w:rsidRPr="00173A9C">
          <w:rPr>
            <w:rStyle w:val="Hyperlink"/>
            <w:rFonts w:ascii="Trebuchet MS" w:hAnsi="Trebuchet MS"/>
            <w:bCs/>
          </w:rPr>
          <w:t>Regulamentul (UE) 2025/2041 al Consiliului din 23 octombrie 2025 de modificare a Regulamentului (CE) nr. 765/2006 privind măsuri restrictive având în vedere situația din Belarus și implicarea Belarusului în agresiunea Rusiei împotriva Ucrainei</w:t>
        </w:r>
      </w:hyperlink>
    </w:p>
    <w:p w14:paraId="1C96C96C" w14:textId="77777777" w:rsidR="00A938AB" w:rsidRPr="00173A9C" w:rsidRDefault="00887715" w:rsidP="00A938AB">
      <w:pPr>
        <w:numPr>
          <w:ilvl w:val="0"/>
          <w:numId w:val="10"/>
        </w:numPr>
        <w:spacing w:before="100" w:beforeAutospacing="1" w:after="100" w:afterAutospacing="1"/>
        <w:rPr>
          <w:rFonts w:ascii="Trebuchet MS" w:hAnsi="Trebuchet MS"/>
          <w:color w:val="000000"/>
        </w:rPr>
      </w:pPr>
      <w:hyperlink r:id="rId13" w:history="1">
        <w:r w:rsidR="00A938AB" w:rsidRPr="00173A9C">
          <w:rPr>
            <w:rStyle w:val="Hyperlink"/>
            <w:rFonts w:ascii="Trebuchet MS" w:hAnsi="Trebuchet MS"/>
            <w:bCs/>
          </w:rPr>
          <w:t>Regulamentul de punere în aplicare (UE) 2025/2035 al Consiliului din 23 octombrie 2025 privind punerea în aplicare a Regulamentului (UE) nr. 269/2014 privind măsuri restrictive în raport cu acțiunile care subminează sau amenință integritatea teritorială, suveranitatea și independența Ucrainei</w:t>
        </w:r>
      </w:hyperlink>
    </w:p>
    <w:p w14:paraId="5FB9F0DA" w14:textId="77777777" w:rsidR="00A938AB" w:rsidRPr="00173A9C" w:rsidRDefault="00887715" w:rsidP="00A938AB">
      <w:pPr>
        <w:numPr>
          <w:ilvl w:val="0"/>
          <w:numId w:val="10"/>
        </w:numPr>
        <w:spacing w:before="100" w:beforeAutospacing="1" w:after="100" w:afterAutospacing="1"/>
        <w:rPr>
          <w:rFonts w:ascii="Trebuchet MS" w:hAnsi="Trebuchet MS"/>
          <w:color w:val="000000"/>
        </w:rPr>
      </w:pPr>
      <w:hyperlink r:id="rId14" w:history="1">
        <w:r w:rsidR="00A938AB" w:rsidRPr="00173A9C">
          <w:rPr>
            <w:rStyle w:val="Hyperlink"/>
            <w:rFonts w:ascii="Trebuchet MS" w:hAnsi="Trebuchet MS"/>
            <w:bCs/>
          </w:rPr>
          <w:t>Regulamentul de punere în aplicare (UE) 2025/2039 al Consiliului din 23 octombrie 2025 privind punerea în aplicare a articolului 8a alineatul (1) din Regulamentul (CE) nr. 765/2006 privind măsuri restrictive având în vedere situația din Belarus și implicarea Belarusului în agresiunea Rusiei împotriva Ucrainei</w:t>
        </w:r>
      </w:hyperlink>
    </w:p>
    <w:p w14:paraId="09F15066" w14:textId="77777777" w:rsidR="00952331" w:rsidRDefault="00952331" w:rsidP="005275BD">
      <w:pPr>
        <w:spacing w:line="276" w:lineRule="auto"/>
        <w:jc w:val="both"/>
        <w:rPr>
          <w:rFonts w:ascii="Trebuchet MS" w:hAnsi="Trebuchet MS" w:cs="Times New Roman"/>
          <w:bCs/>
          <w:color w:val="212121"/>
          <w:lang w:eastAsia="en-US"/>
        </w:rPr>
      </w:pPr>
    </w:p>
    <w:sectPr w:rsidR="00952331" w:rsidSect="008741F0">
      <w:pgSz w:w="11906" w:h="16838"/>
      <w:pgMar w:top="1440"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391C" w14:textId="77777777" w:rsidR="00887715" w:rsidRDefault="00887715" w:rsidP="00FC1E0F">
      <w:r>
        <w:separator/>
      </w:r>
    </w:p>
  </w:endnote>
  <w:endnote w:type="continuationSeparator" w:id="0">
    <w:p w14:paraId="58419177" w14:textId="77777777" w:rsidR="00887715" w:rsidRDefault="00887715" w:rsidP="00FC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9AEA" w14:textId="77777777" w:rsidR="00887715" w:rsidRDefault="00887715" w:rsidP="00FC1E0F">
      <w:r>
        <w:separator/>
      </w:r>
    </w:p>
  </w:footnote>
  <w:footnote w:type="continuationSeparator" w:id="0">
    <w:p w14:paraId="1028FF25" w14:textId="77777777" w:rsidR="00887715" w:rsidRDefault="00887715" w:rsidP="00FC1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2AA9"/>
    <w:multiLevelType w:val="multilevel"/>
    <w:tmpl w:val="AD5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42B4B"/>
    <w:multiLevelType w:val="hybridMultilevel"/>
    <w:tmpl w:val="3D729CB0"/>
    <w:lvl w:ilvl="0" w:tplc="DDF22A0C">
      <w:numFmt w:val="bullet"/>
      <w:lvlText w:val="-"/>
      <w:lvlJc w:val="left"/>
      <w:pPr>
        <w:ind w:left="720" w:hanging="360"/>
      </w:pPr>
      <w:rPr>
        <w:rFonts w:ascii="Trebuchet MS" w:eastAsiaTheme="minorHAnsi"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C36B57"/>
    <w:multiLevelType w:val="multilevel"/>
    <w:tmpl w:val="839A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C6F6D"/>
    <w:multiLevelType w:val="multilevel"/>
    <w:tmpl w:val="F7CA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472620"/>
    <w:multiLevelType w:val="hybridMultilevel"/>
    <w:tmpl w:val="AC524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2273ED"/>
    <w:multiLevelType w:val="hybridMultilevel"/>
    <w:tmpl w:val="74E625D4"/>
    <w:lvl w:ilvl="0" w:tplc="DDF22A0C">
      <w:numFmt w:val="bullet"/>
      <w:lvlText w:val="-"/>
      <w:lvlJc w:val="left"/>
      <w:pPr>
        <w:ind w:left="720" w:hanging="360"/>
      </w:pPr>
      <w:rPr>
        <w:rFonts w:ascii="Trebuchet MS" w:eastAsiaTheme="minorHAns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0766CB6"/>
    <w:multiLevelType w:val="multilevel"/>
    <w:tmpl w:val="831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E08FD"/>
    <w:multiLevelType w:val="multilevel"/>
    <w:tmpl w:val="EF3C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765AA"/>
    <w:multiLevelType w:val="multilevel"/>
    <w:tmpl w:val="FA3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4"/>
  </w:num>
  <w:num w:numId="4">
    <w:abstractNumId w:val="1"/>
  </w:num>
  <w:num w:numId="5">
    <w:abstractNumId w:val="8"/>
  </w:num>
  <w:num w:numId="6">
    <w:abstractNumId w:val="0"/>
  </w:num>
  <w:num w:numId="7">
    <w:abstractNumId w:val="2"/>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2F"/>
    <w:rsid w:val="000155B3"/>
    <w:rsid w:val="000558A7"/>
    <w:rsid w:val="00085643"/>
    <w:rsid w:val="0009594E"/>
    <w:rsid w:val="000C073D"/>
    <w:rsid w:val="000C6AF7"/>
    <w:rsid w:val="000F7E6E"/>
    <w:rsid w:val="00110E21"/>
    <w:rsid w:val="001114B7"/>
    <w:rsid w:val="00145A1C"/>
    <w:rsid w:val="00173A9C"/>
    <w:rsid w:val="001941D8"/>
    <w:rsid w:val="00195479"/>
    <w:rsid w:val="001C1B73"/>
    <w:rsid w:val="001C3E3B"/>
    <w:rsid w:val="0023611A"/>
    <w:rsid w:val="00273FA2"/>
    <w:rsid w:val="002B2B87"/>
    <w:rsid w:val="002B60D6"/>
    <w:rsid w:val="002C7161"/>
    <w:rsid w:val="002D17CC"/>
    <w:rsid w:val="003543E8"/>
    <w:rsid w:val="00354A34"/>
    <w:rsid w:val="00377797"/>
    <w:rsid w:val="00393511"/>
    <w:rsid w:val="003F7969"/>
    <w:rsid w:val="004306AE"/>
    <w:rsid w:val="00453687"/>
    <w:rsid w:val="00497066"/>
    <w:rsid w:val="004A2C66"/>
    <w:rsid w:val="004F2983"/>
    <w:rsid w:val="0050102E"/>
    <w:rsid w:val="0051622E"/>
    <w:rsid w:val="005275BD"/>
    <w:rsid w:val="00532955"/>
    <w:rsid w:val="005605DE"/>
    <w:rsid w:val="0058250E"/>
    <w:rsid w:val="00585EF2"/>
    <w:rsid w:val="005F49F6"/>
    <w:rsid w:val="00605960"/>
    <w:rsid w:val="00647589"/>
    <w:rsid w:val="00664581"/>
    <w:rsid w:val="006702C0"/>
    <w:rsid w:val="006969ED"/>
    <w:rsid w:val="006E3C69"/>
    <w:rsid w:val="007000BD"/>
    <w:rsid w:val="007054AE"/>
    <w:rsid w:val="007537C1"/>
    <w:rsid w:val="00792173"/>
    <w:rsid w:val="007B6E46"/>
    <w:rsid w:val="007E1B18"/>
    <w:rsid w:val="007E502D"/>
    <w:rsid w:val="0082184C"/>
    <w:rsid w:val="00843473"/>
    <w:rsid w:val="008437FE"/>
    <w:rsid w:val="00856771"/>
    <w:rsid w:val="008741F0"/>
    <w:rsid w:val="00885BC7"/>
    <w:rsid w:val="00887715"/>
    <w:rsid w:val="008A7F6D"/>
    <w:rsid w:val="008D182D"/>
    <w:rsid w:val="008D4969"/>
    <w:rsid w:val="008E2B9A"/>
    <w:rsid w:val="00921732"/>
    <w:rsid w:val="0093366B"/>
    <w:rsid w:val="0094555D"/>
    <w:rsid w:val="00947571"/>
    <w:rsid w:val="00952331"/>
    <w:rsid w:val="00964F0A"/>
    <w:rsid w:val="0098124A"/>
    <w:rsid w:val="009A43BD"/>
    <w:rsid w:val="009B2558"/>
    <w:rsid w:val="009C6DC7"/>
    <w:rsid w:val="009D2A45"/>
    <w:rsid w:val="009E5393"/>
    <w:rsid w:val="00A203FF"/>
    <w:rsid w:val="00A707B8"/>
    <w:rsid w:val="00A80EDE"/>
    <w:rsid w:val="00A938AB"/>
    <w:rsid w:val="00A97479"/>
    <w:rsid w:val="00AC59D6"/>
    <w:rsid w:val="00AE3667"/>
    <w:rsid w:val="00AF1E1D"/>
    <w:rsid w:val="00B71BD3"/>
    <w:rsid w:val="00B85E5F"/>
    <w:rsid w:val="00BA3914"/>
    <w:rsid w:val="00BA5232"/>
    <w:rsid w:val="00BC212F"/>
    <w:rsid w:val="00BD31DB"/>
    <w:rsid w:val="00BD63A4"/>
    <w:rsid w:val="00BF0884"/>
    <w:rsid w:val="00BF5631"/>
    <w:rsid w:val="00C02345"/>
    <w:rsid w:val="00C303C1"/>
    <w:rsid w:val="00C63768"/>
    <w:rsid w:val="00C717C0"/>
    <w:rsid w:val="00D175DE"/>
    <w:rsid w:val="00D31429"/>
    <w:rsid w:val="00D55CC5"/>
    <w:rsid w:val="00D722CB"/>
    <w:rsid w:val="00D832D2"/>
    <w:rsid w:val="00D867BB"/>
    <w:rsid w:val="00DC13A4"/>
    <w:rsid w:val="00DD5F39"/>
    <w:rsid w:val="00DD775C"/>
    <w:rsid w:val="00DE3E45"/>
    <w:rsid w:val="00DF6003"/>
    <w:rsid w:val="00E0456E"/>
    <w:rsid w:val="00E04C69"/>
    <w:rsid w:val="00E11C35"/>
    <w:rsid w:val="00E214B1"/>
    <w:rsid w:val="00E46DA3"/>
    <w:rsid w:val="00E75006"/>
    <w:rsid w:val="00E75BDB"/>
    <w:rsid w:val="00F40585"/>
    <w:rsid w:val="00F4078D"/>
    <w:rsid w:val="00F4364D"/>
    <w:rsid w:val="00F526CE"/>
    <w:rsid w:val="00FC1E0F"/>
    <w:rsid w:val="00FC41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F254"/>
  <w15:chartTrackingRefBased/>
  <w15:docId w15:val="{A4CEC201-DD0D-4E58-B41E-D49568C3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2F"/>
    <w:pPr>
      <w:spacing w:before="0" w:line="240" w:lineRule="auto"/>
      <w:jc w:val="left"/>
    </w:pPr>
    <w:rPr>
      <w:rFonts w:ascii="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7C1"/>
    <w:rPr>
      <w:color w:val="0563C1" w:themeColor="hyperlink"/>
      <w:u w:val="single"/>
    </w:rPr>
  </w:style>
  <w:style w:type="character" w:styleId="CommentReference">
    <w:name w:val="annotation reference"/>
    <w:basedOn w:val="DefaultParagraphFont"/>
    <w:uiPriority w:val="99"/>
    <w:semiHidden/>
    <w:unhideWhenUsed/>
    <w:rsid w:val="001C1B73"/>
    <w:rPr>
      <w:sz w:val="16"/>
      <w:szCs w:val="16"/>
    </w:rPr>
  </w:style>
  <w:style w:type="paragraph" w:styleId="CommentText">
    <w:name w:val="annotation text"/>
    <w:basedOn w:val="Normal"/>
    <w:link w:val="CommentTextChar"/>
    <w:uiPriority w:val="99"/>
    <w:semiHidden/>
    <w:unhideWhenUsed/>
    <w:rsid w:val="001C1B73"/>
    <w:rPr>
      <w:sz w:val="20"/>
      <w:szCs w:val="20"/>
    </w:rPr>
  </w:style>
  <w:style w:type="character" w:customStyle="1" w:styleId="CommentTextChar">
    <w:name w:val="Comment Text Char"/>
    <w:basedOn w:val="DefaultParagraphFont"/>
    <w:link w:val="CommentText"/>
    <w:uiPriority w:val="99"/>
    <w:semiHidden/>
    <w:rsid w:val="001C1B73"/>
    <w:rPr>
      <w:rFonts w:ascii="Calibri"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1C1B73"/>
    <w:rPr>
      <w:b/>
      <w:bCs/>
    </w:rPr>
  </w:style>
  <w:style w:type="character" w:customStyle="1" w:styleId="CommentSubjectChar">
    <w:name w:val="Comment Subject Char"/>
    <w:basedOn w:val="CommentTextChar"/>
    <w:link w:val="CommentSubject"/>
    <w:uiPriority w:val="99"/>
    <w:semiHidden/>
    <w:rsid w:val="001C1B73"/>
    <w:rPr>
      <w:rFonts w:ascii="Calibri" w:hAnsi="Calibri" w:cs="Calibri"/>
      <w:b/>
      <w:bCs/>
      <w:sz w:val="20"/>
      <w:szCs w:val="20"/>
      <w:lang w:eastAsia="ro-RO"/>
    </w:rPr>
  </w:style>
  <w:style w:type="paragraph" w:styleId="BalloonText">
    <w:name w:val="Balloon Text"/>
    <w:basedOn w:val="Normal"/>
    <w:link w:val="BalloonTextChar"/>
    <w:uiPriority w:val="99"/>
    <w:semiHidden/>
    <w:unhideWhenUsed/>
    <w:rsid w:val="001C1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73"/>
    <w:rPr>
      <w:rFonts w:ascii="Segoe UI" w:hAnsi="Segoe UI" w:cs="Segoe UI"/>
      <w:sz w:val="18"/>
      <w:szCs w:val="18"/>
      <w:lang w:eastAsia="ro-RO"/>
    </w:rPr>
  </w:style>
  <w:style w:type="paragraph" w:styleId="ListParagraph">
    <w:name w:val="List Paragraph"/>
    <w:basedOn w:val="Normal"/>
    <w:uiPriority w:val="34"/>
    <w:qFormat/>
    <w:rsid w:val="00532955"/>
    <w:pPr>
      <w:ind w:left="720"/>
      <w:contextualSpacing/>
    </w:pPr>
  </w:style>
  <w:style w:type="character" w:styleId="FollowedHyperlink">
    <w:name w:val="FollowedHyperlink"/>
    <w:basedOn w:val="DefaultParagraphFont"/>
    <w:uiPriority w:val="99"/>
    <w:semiHidden/>
    <w:unhideWhenUsed/>
    <w:rsid w:val="00C303C1"/>
    <w:rPr>
      <w:color w:val="954F72" w:themeColor="followedHyperlink"/>
      <w:u w:val="single"/>
    </w:rPr>
  </w:style>
  <w:style w:type="paragraph" w:styleId="NormalWeb">
    <w:name w:val="Normal (Web)"/>
    <w:basedOn w:val="Normal"/>
    <w:uiPriority w:val="99"/>
    <w:semiHidden/>
    <w:unhideWhenUsed/>
    <w:rsid w:val="00DD775C"/>
    <w:rPr>
      <w:rFonts w:ascii="Times New Roman" w:hAnsi="Times New Roman" w:cs="Times New Roman"/>
      <w:sz w:val="24"/>
      <w:szCs w:val="24"/>
    </w:rPr>
  </w:style>
  <w:style w:type="character" w:styleId="Strong">
    <w:name w:val="Strong"/>
    <w:basedOn w:val="DefaultParagraphFont"/>
    <w:uiPriority w:val="22"/>
    <w:qFormat/>
    <w:rsid w:val="00A938AB"/>
    <w:rPr>
      <w:b/>
      <w:bCs/>
    </w:rPr>
  </w:style>
  <w:style w:type="character" w:styleId="Emphasis">
    <w:name w:val="Emphasis"/>
    <w:basedOn w:val="DefaultParagraphFont"/>
    <w:uiPriority w:val="20"/>
    <w:qFormat/>
    <w:rsid w:val="00A938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6298">
      <w:bodyDiv w:val="1"/>
      <w:marLeft w:val="0"/>
      <w:marRight w:val="0"/>
      <w:marTop w:val="0"/>
      <w:marBottom w:val="0"/>
      <w:divBdr>
        <w:top w:val="none" w:sz="0" w:space="0" w:color="auto"/>
        <w:left w:val="none" w:sz="0" w:space="0" w:color="auto"/>
        <w:bottom w:val="none" w:sz="0" w:space="0" w:color="auto"/>
        <w:right w:val="none" w:sz="0" w:space="0" w:color="auto"/>
      </w:divBdr>
      <w:divsChild>
        <w:div w:id="697437487">
          <w:marLeft w:val="0"/>
          <w:marRight w:val="0"/>
          <w:marTop w:val="0"/>
          <w:marBottom w:val="0"/>
          <w:divBdr>
            <w:top w:val="none" w:sz="0" w:space="0" w:color="auto"/>
            <w:left w:val="none" w:sz="0" w:space="0" w:color="auto"/>
            <w:bottom w:val="none" w:sz="0" w:space="0" w:color="auto"/>
            <w:right w:val="none" w:sz="0" w:space="0" w:color="auto"/>
          </w:divBdr>
          <w:divsChild>
            <w:div w:id="20985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5578">
      <w:bodyDiv w:val="1"/>
      <w:marLeft w:val="0"/>
      <w:marRight w:val="0"/>
      <w:marTop w:val="0"/>
      <w:marBottom w:val="0"/>
      <w:divBdr>
        <w:top w:val="none" w:sz="0" w:space="0" w:color="auto"/>
        <w:left w:val="none" w:sz="0" w:space="0" w:color="auto"/>
        <w:bottom w:val="none" w:sz="0" w:space="0" w:color="auto"/>
        <w:right w:val="none" w:sz="0" w:space="0" w:color="auto"/>
      </w:divBdr>
    </w:div>
    <w:div w:id="960695976">
      <w:bodyDiv w:val="1"/>
      <w:marLeft w:val="0"/>
      <w:marRight w:val="0"/>
      <w:marTop w:val="0"/>
      <w:marBottom w:val="0"/>
      <w:divBdr>
        <w:top w:val="none" w:sz="0" w:space="0" w:color="auto"/>
        <w:left w:val="none" w:sz="0" w:space="0" w:color="auto"/>
        <w:bottom w:val="none" w:sz="0" w:space="0" w:color="auto"/>
        <w:right w:val="none" w:sz="0" w:space="0" w:color="auto"/>
      </w:divBdr>
    </w:div>
    <w:div w:id="1173835003">
      <w:bodyDiv w:val="1"/>
      <w:marLeft w:val="0"/>
      <w:marRight w:val="0"/>
      <w:marTop w:val="0"/>
      <w:marBottom w:val="0"/>
      <w:divBdr>
        <w:top w:val="none" w:sz="0" w:space="0" w:color="auto"/>
        <w:left w:val="none" w:sz="0" w:space="0" w:color="auto"/>
        <w:bottom w:val="none" w:sz="0" w:space="0" w:color="auto"/>
        <w:right w:val="none" w:sz="0" w:space="0" w:color="auto"/>
      </w:divBdr>
    </w:div>
    <w:div w:id="15800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RO/TXT/?uri=OJ%3AL_20250203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lex.europa.eu/legal-content/RO/TXT/?uri=OJ%3AL_20250204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RO/TXT/?uri=OJ%3AL_20250203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lex.europa.eu/legal-content/RO/TXT/?uri=OJ%3AL_2025020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RO/TXT/?uri=OJ%3AL_202502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901CB90D5834AA8E384F06878A446" ma:contentTypeVersion="5" ma:contentTypeDescription="Create a new document." ma:contentTypeScope="" ma:versionID="d2f3b9dd8e09d0ce7ca3b334fb505b3a">
  <xsd:schema xmlns:xsd="http://www.w3.org/2001/XMLSchema" xmlns:xs="http://www.w3.org/2001/XMLSchema" xmlns:p="http://schemas.microsoft.com/office/2006/metadata/properties" xmlns:ns2="4c5a1135-0730-4dd6-b6ae-a8dd1a03f7e4" targetNamespace="http://schemas.microsoft.com/office/2006/metadata/properties" ma:root="true" ma:fieldsID="95d478aca36f8b195f7f324460578ffe" ns2:_="">
    <xsd:import namespace="4c5a1135-0730-4dd6-b6ae-a8dd1a03f7e4"/>
    <xsd:element name="properties">
      <xsd:complexType>
        <xsd:sequence>
          <xsd:element name="documentManagement">
            <xsd:complexType>
              <xsd:all>
                <xsd:element ref="ns2:alte_x0020_informatii"/>
                <xsd:element ref="ns2:numar_x0020_pd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a1135-0730-4dd6-b6ae-a8dd1a03f7e4" elementFormDefault="qualified">
    <xsd:import namespace="http://schemas.microsoft.com/office/2006/documentManagement/types"/>
    <xsd:import namespace="http://schemas.microsoft.com/office/infopath/2007/PartnerControls"/>
    <xsd:element name="alte_x0020_informatii" ma:index="8" ma:displayName="alte informatii" ma:format="Dropdown" ma:internalName="alte_x0020_informatii">
      <xsd:simpleType>
        <xsd:restriction base="dms:Choice">
          <xsd:enumeration value="pdv"/>
          <xsd:enumeration value="aviz acte normative"/>
          <xsd:enumeration value="participare"/>
          <xsd:enumeration value="arhivare"/>
          <xsd:enumeration value="atasare la alt pdv"/>
        </xsd:restriction>
      </xsd:simpleType>
    </xsd:element>
    <xsd:element name="numar_x0020_pdv" ma:index="9" ma:displayName="numar pdv" ma:internalName="numar_x0020_pdv">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_x0020_informatii xmlns="4c5a1135-0730-4dd6-b6ae-a8dd1a03f7e4">pdv</alte_x0020_informatii>
    <numar_x0020_pdv xmlns="4c5a1135-0730-4dd6-b6ae-a8dd1a03f7e4">7728</numar_x0020_pd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915FE-8CAA-4EC3-8613-C751FB019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a1135-0730-4dd6-b6ae-a8dd1a03f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43194-18E1-47A7-B666-BC7CA0E32101}">
  <ds:schemaRefs>
    <ds:schemaRef ds:uri="http://schemas.microsoft.com/office/2006/metadata/properties"/>
    <ds:schemaRef ds:uri="http://schemas.microsoft.com/office/infopath/2007/PartnerControls"/>
    <ds:schemaRef ds:uri="4c5a1135-0730-4dd6-b6ae-a8dd1a03f7e4"/>
  </ds:schemaRefs>
</ds:datastoreItem>
</file>

<file path=customXml/itemProps3.xml><?xml version="1.0" encoding="utf-8"?>
<ds:datastoreItem xmlns:ds="http://schemas.openxmlformats.org/officeDocument/2006/customXml" ds:itemID="{4DE857EB-1254-46BB-89A7-3EA32A0C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7728 Notificare-privind-pachet 19 masuri restrictive</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7728 Notificare-privind-pachet 19 masuri restrictive</dc:title>
  <dc:subject/>
  <dc:creator>Cristina Simionas</dc:creator>
  <cp:keywords/>
  <dc:description/>
  <cp:lastModifiedBy>Cijevschi Nicoleta</cp:lastModifiedBy>
  <cp:revision>2</cp:revision>
  <dcterms:created xsi:type="dcterms:W3CDTF">2025-11-18T13:42:00Z</dcterms:created>
  <dcterms:modified xsi:type="dcterms:W3CDTF">2025-11-18T13:42:00Z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0x01010079E901CB90D5834AA8E384F06878A446</vt:lpwstr>
  </property>
</Properties>
</file>